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D6919" w14:textId="77777777" w:rsidR="00FA61B3" w:rsidRDefault="00000000">
      <w:pPr>
        <w:tabs>
          <w:tab w:val="left" w:pos="2694"/>
        </w:tabs>
        <w:autoSpaceDE w:val="0"/>
        <w:autoSpaceDN w:val="0"/>
        <w:adjustRightInd w:val="0"/>
        <w:spacing w:line="560" w:lineRule="exact"/>
        <w:ind w:firstLineChars="200" w:firstLine="880"/>
        <w:jc w:val="center"/>
        <w:rPr>
          <w:rFonts w:ascii="方正小标宋简体" w:eastAsia="方正小标宋简体" w:hAnsi="方正小标宋简体" w:cs="方正小标宋简体"/>
          <w:bCs/>
          <w:kern w:val="0"/>
          <w:sz w:val="44"/>
          <w:szCs w:val="44"/>
        </w:rPr>
      </w:pPr>
      <w:r>
        <w:rPr>
          <w:rFonts w:ascii="方正小标宋简体" w:eastAsia="方正小标宋简体" w:hAnsi="方正小标宋简体" w:cs="方正小标宋简体" w:hint="eastAsia"/>
          <w:bCs/>
          <w:kern w:val="0"/>
          <w:sz w:val="44"/>
          <w:szCs w:val="44"/>
        </w:rPr>
        <w:t>"Requirements for the Physical Model of Urban Perception Systems"</w:t>
      </w:r>
    </w:p>
    <w:p w14:paraId="6CAA7C87" w14:textId="77777777" w:rsidR="00FA61B3" w:rsidRDefault="00000000">
      <w:pPr>
        <w:autoSpaceDE w:val="0"/>
        <w:autoSpaceDN w:val="0"/>
        <w:adjustRightInd w:val="0"/>
        <w:spacing w:line="560" w:lineRule="exact"/>
        <w:ind w:firstLineChars="200" w:firstLine="880"/>
        <w:jc w:val="center"/>
        <w:rPr>
          <w:rFonts w:ascii="方正小标宋简体" w:eastAsia="方正小标宋简体" w:hAnsi="方正小标宋简体" w:cs="方正小标宋简体"/>
          <w:bCs/>
          <w:kern w:val="0"/>
          <w:sz w:val="44"/>
          <w:szCs w:val="44"/>
        </w:rPr>
      </w:pPr>
      <w:r>
        <w:rPr>
          <w:rFonts w:ascii="方正小标宋简体" w:eastAsia="方正小标宋简体" w:hAnsi="方正小标宋简体" w:cs="方正小标宋简体" w:hint="eastAsia"/>
          <w:bCs/>
          <w:kern w:val="0"/>
          <w:sz w:val="44"/>
          <w:szCs w:val="44"/>
        </w:rPr>
        <w:t>Compilation Instructions</w:t>
      </w:r>
    </w:p>
    <w:p w14:paraId="663B1DB1" w14:textId="77777777" w:rsidR="00FA61B3" w:rsidRDefault="00000000">
      <w:pPr>
        <w:spacing w:line="560" w:lineRule="exact"/>
        <w:ind w:firstLineChars="200" w:firstLine="640"/>
        <w:outlineLvl w:val="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1. Work Summary</w:t>
      </w:r>
    </w:p>
    <w:p w14:paraId="34F600E2" w14:textId="77777777" w:rsidR="00FA61B3" w:rsidRDefault="00000000">
      <w:pPr>
        <w:spacing w:line="560" w:lineRule="exact"/>
        <w:ind w:firstLineChars="200" w:firstLine="640"/>
        <w:outlineLvl w:val="1"/>
        <w:rPr>
          <w:rFonts w:ascii="楷体_GB2312" w:eastAsia="楷体_GB2312" w:hAnsi="楷体_GB2312" w:cs="楷体_GB2312"/>
          <w:bCs/>
          <w:sz w:val="32"/>
          <w:szCs w:val="32"/>
        </w:rPr>
      </w:pPr>
      <w:r>
        <w:rPr>
          <w:rFonts w:ascii="楷体_GB2312" w:eastAsia="楷体_GB2312" w:hAnsi="楷体_GB2312" w:cs="楷体_GB2312" w:hint="eastAsia"/>
          <w:bCs/>
          <w:sz w:val="32"/>
          <w:szCs w:val="32"/>
        </w:rPr>
        <w:t>(1) Source of the task</w:t>
      </w:r>
    </w:p>
    <w:p w14:paraId="31B6672A" w14:textId="77777777" w:rsidR="00FA61B3" w:rsidRDefault="00000000">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 xml:space="preserve">To implement the "Outline Development Plan for the Guangdong-Hong Kong-Macao Greater Bay Area," the "National Standardization Development Outline," and the relevant requirements of the "Action Plan for Implementing the National Standardization Development Outline," the Provincial Market Supervision Administration has vigorously promoted the construction of the "Bay Area Standards" system, incorporating this work into the "14th Five-Year Plan for Modernization of Market Regulation in Guangdong Province." The construction of smart cities is a strategic initiative to advance new urbanization, enhance urban governance, and develop the digital economy. President Xi Jinping has placed great emphasis on the development of smart cities, providing important instructions on multiple occasions. On October 9, 2016, during a collective study session of the Political Bureau, President Xi emphasized, "By promoting e-government and building new smart cities, and through data centralization and sharing, we will establish a nationally integrated national big data center, promote the integration of technology, business, </w:t>
      </w:r>
      <w:r>
        <w:rPr>
          <w:rFonts w:ascii="仿宋_GB2312" w:eastAsia="仿宋_GB2312" w:hAnsi="仿宋_GB2312" w:cs="仿宋_GB2312" w:hint="eastAsia"/>
          <w:bCs/>
          <w:sz w:val="32"/>
          <w:szCs w:val="32"/>
        </w:rPr>
        <w:lastRenderedPageBreak/>
        <w:t xml:space="preserve">and data, and achieve collaborative management and services across levels, regions, systems, departments, and businesses." On October 31, 2018, President Xi Jinping stated, "We should promote the construction of smart cities, encourage the deep application of artificial intelligence in the field of public safety, strengthen the use of AI in ecological areas, and utilize AI to improve the level of public services and social governance." On October 24, 2019, President Xi Jinping emphasized, "We should integrate blockchain technology services with the construction of new smart cities, explore the application and promotion in areas such as information infrastructure, smart transportation, and energy power, and enhance the intelligence and precision of urban management." On March 31, 2020, President Xi Jinping visited the Hangzhou City Brain Operation Command Center to observe the progress of the "Digital Hangzhou" project and remarked, "The transition from informatization to intelligence and then to wisdom is the inevitable path for building smart cities, with a broad and promising future." In 2022, the report of the 20th National Congress of the Communist Party of China stated, "Strengthen urban infrastructure construction to create livable, resilient, and smart cities." In December 2023, during his inspection in Shanghai, President Xi Jinping emphasized, "Adhere to a consistent blueprint in urban planning and implementation, and accelerate the digital transformation of </w:t>
      </w:r>
      <w:r>
        <w:rPr>
          <w:rFonts w:ascii="仿宋_GB2312" w:eastAsia="仿宋_GB2312" w:hAnsi="仿宋_GB2312" w:cs="仿宋_GB2312" w:hint="eastAsia"/>
          <w:bCs/>
          <w:sz w:val="32"/>
          <w:szCs w:val="32"/>
        </w:rPr>
        <w:lastRenderedPageBreak/>
        <w:t>cities."</w:t>
      </w:r>
    </w:p>
    <w:p w14:paraId="3570FCD0" w14:textId="77777777" w:rsidR="00FA61B3" w:rsidRDefault="00000000">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 xml:space="preserve">On May 20, 2024, the National Development and Reform Commission, the National Data Administration, the Ministry of Finance, and the Ministry of Natural Resources jointly issued the "Guiding Opinions on Deepening Smart City Development and Promoting Comprehensive Digital Transformation of Cities" (NDRC Data [2024] No. 660). The document explicitly requires "improving urban operation management service platforms, deepening the construction of 'one network for unified management,' promoting data integration across all stages of urban planning, construction, </w:t>
      </w:r>
      <w:proofErr w:type="gramStart"/>
      <w:r>
        <w:rPr>
          <w:rFonts w:ascii="仿宋_GB2312" w:eastAsia="仿宋_GB2312" w:hAnsi="仿宋_GB2312" w:cs="仿宋_GB2312" w:hint="eastAsia"/>
          <w:bCs/>
          <w:sz w:val="32"/>
          <w:szCs w:val="32"/>
        </w:rPr>
        <w:t>management, and</w:t>
      </w:r>
      <w:proofErr w:type="gramEnd"/>
      <w:r>
        <w:rPr>
          <w:rFonts w:ascii="仿宋_GB2312" w:eastAsia="仿宋_GB2312" w:hAnsi="仿宋_GB2312" w:cs="仿宋_GB2312" w:hint="eastAsia"/>
          <w:bCs/>
          <w:sz w:val="32"/>
          <w:szCs w:val="32"/>
        </w:rPr>
        <w:t xml:space="preserve"> operation and maintenance, strengthening urban vital signs monitoring, and empowering urban health checks and urban renewal with data and business linkage. Relying on urban operation and governance intelligent hubs, integrating functions such as status sensing, modeling analysis, urban operation, and emergency command, aggregating areas such as public safety, planning and construction, urban management, emergency communication, traffic management, market supervision, ecological environment, and public sentiment perception, to achieve comprehensive situation awareness, intelligent trend analysis, collaborative and efficient handling, agile dispatch response, and rapid switching between normal and emergency situations." "</w:t>
      </w:r>
    </w:p>
    <w:p w14:paraId="471DCD4C" w14:textId="77777777" w:rsidR="00FA61B3" w:rsidRDefault="00000000">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lastRenderedPageBreak/>
        <w:t>The urban sensing system serves as the "senses" for perceiving the state of a city and is the source of data generation. The integration of data within the urban sensing system is a prerequisite for the development of smart cities and the foundation for advancing the digital economy. By aggregating the strengths and best practices of Shenzhen, Hong Kong, and Macao in the integration of urban sensing system data, and by standardizing the technical requirements for a unified object model in urban sensing systems, this initiative holds significant practical importance for the in-depth development of smart city construction in the Guangdong-Hong Kong-Macao Greater Bay Area, especially under the strategic and collaborative development framework of the region. In line with the "Bay Area Standards" development plan, this project was proposed by Huawei Technologies Co., Ltd. and the Shenzhen Institute of Standards and Technology, and was jointly initiated in June 2024 by the Smart City Industry Ecosystem and the Shenzhen Internet of Things Industry Association.</w:t>
      </w:r>
    </w:p>
    <w:p w14:paraId="7B0665AE" w14:textId="77777777" w:rsidR="00FA61B3" w:rsidRDefault="00000000">
      <w:pPr>
        <w:spacing w:line="560" w:lineRule="exact"/>
        <w:ind w:firstLineChars="200" w:firstLine="640"/>
        <w:outlineLvl w:val="1"/>
        <w:rPr>
          <w:rFonts w:ascii="楷体_GB2312" w:eastAsia="楷体_GB2312" w:hAnsi="楷体_GB2312" w:cs="楷体_GB2312"/>
          <w:bCs/>
          <w:sz w:val="32"/>
          <w:szCs w:val="32"/>
        </w:rPr>
      </w:pPr>
      <w:r>
        <w:rPr>
          <w:rFonts w:ascii="楷体_GB2312" w:eastAsia="楷体_GB2312" w:hAnsi="楷体_GB2312" w:cs="楷体_GB2312" w:hint="eastAsia"/>
          <w:bCs/>
          <w:sz w:val="32"/>
          <w:szCs w:val="32"/>
        </w:rPr>
        <w:t>(2) Drafting Unit and Division of Responsibilities</w:t>
      </w:r>
    </w:p>
    <w:p w14:paraId="3B92FA19" w14:textId="1EDB31E4" w:rsidR="00FA61B3" w:rsidRDefault="00000000">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 xml:space="preserve">This standard was drafted by a working group composed of 14 institutions, including Huawei Technologies Co., Ltd., Shenzhen Standard Technology Research Institute, Chengdu Smart City Information Technology Co., Ltd., China Electronics </w:t>
      </w:r>
      <w:r>
        <w:rPr>
          <w:rFonts w:ascii="仿宋_GB2312" w:eastAsia="仿宋_GB2312" w:hAnsi="仿宋_GB2312" w:cs="仿宋_GB2312" w:hint="eastAsia"/>
          <w:bCs/>
          <w:sz w:val="32"/>
          <w:szCs w:val="32"/>
        </w:rPr>
        <w:lastRenderedPageBreak/>
        <w:t xml:space="preserve">Standardization Institute, Shenzhen National High-Tech Industry Innovation Center, Hangzhou </w:t>
      </w:r>
      <w:proofErr w:type="spellStart"/>
      <w:r>
        <w:rPr>
          <w:rFonts w:ascii="仿宋_GB2312" w:eastAsia="仿宋_GB2312" w:hAnsi="仿宋_GB2312" w:cs="仿宋_GB2312" w:hint="eastAsia"/>
          <w:bCs/>
          <w:sz w:val="32"/>
          <w:szCs w:val="32"/>
        </w:rPr>
        <w:t>Xujian</w:t>
      </w:r>
      <w:proofErr w:type="spellEnd"/>
      <w:r>
        <w:rPr>
          <w:rFonts w:ascii="仿宋_GB2312" w:eastAsia="仿宋_GB2312" w:hAnsi="仿宋_GB2312" w:cs="仿宋_GB2312" w:hint="eastAsia"/>
          <w:bCs/>
          <w:sz w:val="32"/>
          <w:szCs w:val="32"/>
        </w:rPr>
        <w:t xml:space="preserve"> Technology Co., Ltd., Guangzhou </w:t>
      </w:r>
      <w:proofErr w:type="spellStart"/>
      <w:r>
        <w:rPr>
          <w:rFonts w:ascii="仿宋_GB2312" w:eastAsia="仿宋_GB2312" w:hAnsi="仿宋_GB2312" w:cs="仿宋_GB2312" w:hint="eastAsia"/>
          <w:bCs/>
          <w:sz w:val="32"/>
          <w:szCs w:val="32"/>
        </w:rPr>
        <w:t>Xinwei</w:t>
      </w:r>
      <w:proofErr w:type="spellEnd"/>
      <w:r>
        <w:rPr>
          <w:rFonts w:ascii="仿宋_GB2312" w:eastAsia="仿宋_GB2312" w:hAnsi="仿宋_GB2312" w:cs="仿宋_GB2312" w:hint="eastAsia"/>
          <w:bCs/>
          <w:sz w:val="32"/>
          <w:szCs w:val="32"/>
        </w:rPr>
        <w:t xml:space="preserve"> Smart Security Technology Co., Ltd., Shenzhen </w:t>
      </w:r>
      <w:proofErr w:type="spellStart"/>
      <w:r>
        <w:rPr>
          <w:rFonts w:ascii="仿宋_GB2312" w:eastAsia="仿宋_GB2312" w:hAnsi="仿宋_GB2312" w:cs="仿宋_GB2312" w:hint="eastAsia"/>
          <w:bCs/>
          <w:sz w:val="32"/>
          <w:szCs w:val="32"/>
        </w:rPr>
        <w:t>Xingwang</w:t>
      </w:r>
      <w:proofErr w:type="spellEnd"/>
      <w:r>
        <w:rPr>
          <w:rFonts w:ascii="仿宋_GB2312" w:eastAsia="仿宋_GB2312" w:hAnsi="仿宋_GB2312" w:cs="仿宋_GB2312" w:hint="eastAsia"/>
          <w:bCs/>
          <w:sz w:val="32"/>
          <w:szCs w:val="32"/>
        </w:rPr>
        <w:t xml:space="preserve"> Xintong Technology Co., Ltd., </w:t>
      </w:r>
      <w:r w:rsidR="00A477FA">
        <w:rPr>
          <w:rFonts w:ascii="仿宋_GB2312" w:eastAsia="仿宋_GB2312" w:hAnsi="仿宋_GB2312" w:cs="仿宋_GB2312"/>
          <w:bCs/>
          <w:sz w:val="32"/>
          <w:szCs w:val="32"/>
        </w:rPr>
        <w:t>Altai</w:t>
      </w:r>
      <w:r w:rsidR="00A477FA">
        <w:rPr>
          <w:rFonts w:ascii="仿宋_GB2312" w:eastAsia="仿宋_GB2312" w:hAnsi="仿宋_GB2312" w:cs="仿宋_GB2312" w:hint="eastAsia"/>
          <w:bCs/>
          <w:sz w:val="32"/>
          <w:szCs w:val="32"/>
        </w:rPr>
        <w:t xml:space="preserve"> Technolog</w:t>
      </w:r>
      <w:r w:rsidR="00A477FA">
        <w:rPr>
          <w:rFonts w:ascii="仿宋_GB2312" w:eastAsia="仿宋_GB2312" w:hAnsi="仿宋_GB2312" w:cs="仿宋_GB2312"/>
          <w:bCs/>
          <w:sz w:val="32"/>
          <w:szCs w:val="32"/>
        </w:rPr>
        <w:t>ies</w:t>
      </w:r>
      <w:r w:rsidR="00A477FA">
        <w:rPr>
          <w:rFonts w:ascii="仿宋_GB2312" w:eastAsia="仿宋_GB2312" w:hAnsi="仿宋_GB2312" w:cs="仿宋_GB2312" w:hint="eastAsia"/>
          <w:bCs/>
          <w:sz w:val="32"/>
          <w:szCs w:val="32"/>
        </w:rPr>
        <w:t xml:space="preserve"> L</w:t>
      </w:r>
      <w:r w:rsidR="00A477FA">
        <w:rPr>
          <w:rFonts w:ascii="仿宋_GB2312" w:eastAsia="仿宋_GB2312" w:hAnsi="仿宋_GB2312" w:cs="仿宋_GB2312"/>
          <w:bCs/>
          <w:sz w:val="32"/>
          <w:szCs w:val="32"/>
        </w:rPr>
        <w:t>imited</w:t>
      </w:r>
      <w:r>
        <w:rPr>
          <w:rFonts w:ascii="仿宋_GB2312" w:eastAsia="仿宋_GB2312" w:hAnsi="仿宋_GB2312" w:cs="仿宋_GB2312" w:hint="eastAsia"/>
          <w:bCs/>
          <w:sz w:val="32"/>
          <w:szCs w:val="32"/>
        </w:rPr>
        <w:t xml:space="preserve"> (Hong Kong), </w:t>
      </w:r>
      <w:proofErr w:type="spellStart"/>
      <w:r>
        <w:rPr>
          <w:rFonts w:ascii="仿宋_GB2312" w:eastAsia="仿宋_GB2312" w:hAnsi="仿宋_GB2312" w:cs="仿宋_GB2312" w:hint="eastAsia"/>
          <w:bCs/>
          <w:sz w:val="32"/>
          <w:szCs w:val="32"/>
        </w:rPr>
        <w:t>Longjie</w:t>
      </w:r>
      <w:proofErr w:type="spellEnd"/>
      <w:r>
        <w:rPr>
          <w:rFonts w:ascii="仿宋_GB2312" w:eastAsia="仿宋_GB2312" w:hAnsi="仿宋_GB2312" w:cs="仿宋_GB2312" w:hint="eastAsia"/>
          <w:bCs/>
          <w:sz w:val="32"/>
          <w:szCs w:val="32"/>
        </w:rPr>
        <w:t xml:space="preserve"> Technology Co., Ltd. (Hong Kong), Digital City Industrial Ecosystem Alliance (Hong Kong), China IoT Holdings Limited (Hong Kong), Macao University of Science and Technology (Macao), and </w:t>
      </w:r>
      <w:proofErr w:type="spellStart"/>
      <w:r>
        <w:rPr>
          <w:rFonts w:ascii="仿宋_GB2312" w:eastAsia="仿宋_GB2312" w:hAnsi="仿宋_GB2312" w:cs="仿宋_GB2312" w:hint="eastAsia"/>
          <w:bCs/>
          <w:sz w:val="32"/>
          <w:szCs w:val="32"/>
        </w:rPr>
        <w:t>Yanhuang</w:t>
      </w:r>
      <w:proofErr w:type="spellEnd"/>
      <w:r>
        <w:rPr>
          <w:rFonts w:ascii="仿宋_GB2312" w:eastAsia="仿宋_GB2312" w:hAnsi="仿宋_GB2312" w:cs="仿宋_GB2312" w:hint="eastAsia"/>
          <w:bCs/>
          <w:sz w:val="32"/>
          <w:szCs w:val="32"/>
        </w:rPr>
        <w:t xml:space="preserve"> Group Limited (Macao). The specific division of labor for the drafting is as shown in the table below.</w:t>
      </w:r>
    </w:p>
    <w:tbl>
      <w:tblPr>
        <w:tblStyle w:val="TableGrid"/>
        <w:tblW w:w="0" w:type="auto"/>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3567"/>
        <w:gridCol w:w="6395"/>
      </w:tblGrid>
      <w:tr w:rsidR="00FA61B3" w14:paraId="1013F1BA" w14:textId="77777777">
        <w:tc>
          <w:tcPr>
            <w:tcW w:w="3567" w:type="dxa"/>
            <w:tcBorders>
              <w:tl2br w:val="nil"/>
              <w:tr2bl w:val="nil"/>
            </w:tcBorders>
          </w:tcPr>
          <w:p w14:paraId="75BF2E52" w14:textId="77777777" w:rsidR="00FA61B3" w:rsidRDefault="00000000">
            <w:pPr>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Task Division</w:t>
            </w:r>
          </w:p>
        </w:tc>
        <w:tc>
          <w:tcPr>
            <w:tcW w:w="6395" w:type="dxa"/>
            <w:tcBorders>
              <w:tl2br w:val="nil"/>
              <w:tr2bl w:val="nil"/>
            </w:tcBorders>
          </w:tcPr>
          <w:p w14:paraId="6DC6E134" w14:textId="77777777" w:rsidR="00FA61B3" w:rsidRDefault="00000000">
            <w:pPr>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Preparing Unit</w:t>
            </w:r>
          </w:p>
        </w:tc>
      </w:tr>
      <w:tr w:rsidR="00FA61B3" w14:paraId="1325C9E4" w14:textId="77777777">
        <w:tc>
          <w:tcPr>
            <w:tcW w:w="3567" w:type="dxa"/>
            <w:tcBorders>
              <w:tl2br w:val="nil"/>
              <w:tr2bl w:val="nil"/>
            </w:tcBorders>
          </w:tcPr>
          <w:p w14:paraId="615245F1" w14:textId="77777777" w:rsidR="00FA61B3" w:rsidRDefault="00000000">
            <w:pPr>
              <w:rPr>
                <w:rFonts w:ascii="Times New Roman" w:eastAsia="方正仿宋简体" w:hAnsi="Times New Roman" w:cs="Times New Roman"/>
                <w:bCs/>
                <w:kern w:val="0"/>
                <w:sz w:val="28"/>
                <w:szCs w:val="28"/>
              </w:rPr>
            </w:pPr>
            <w:r>
              <w:rPr>
                <w:rFonts w:ascii="仿宋_GB2312" w:eastAsia="仿宋_GB2312" w:hAnsi="仿宋_GB2312" w:cs="仿宋_GB2312" w:hint="eastAsia"/>
                <w:bCs/>
                <w:sz w:val="32"/>
                <w:szCs w:val="32"/>
              </w:rPr>
              <w:t>Standard project initiation, standard implementation coordination, standard development implementation plan, standard outline, standard objectives and drafting principles</w:t>
            </w:r>
          </w:p>
        </w:tc>
        <w:tc>
          <w:tcPr>
            <w:tcW w:w="6395" w:type="dxa"/>
            <w:tcBorders>
              <w:tl2br w:val="nil"/>
              <w:tr2bl w:val="nil"/>
            </w:tcBorders>
          </w:tcPr>
          <w:p w14:paraId="52254424" w14:textId="77777777" w:rsidR="00FA61B3" w:rsidRDefault="00000000">
            <w:pPr>
              <w:rPr>
                <w:rFonts w:ascii="Times New Roman" w:eastAsia="方正仿宋简体" w:hAnsi="Times New Roman" w:cs="Times New Roman"/>
                <w:bCs/>
                <w:kern w:val="0"/>
                <w:sz w:val="28"/>
                <w:szCs w:val="28"/>
              </w:rPr>
            </w:pPr>
            <w:r>
              <w:rPr>
                <w:rFonts w:ascii="仿宋_GB2312" w:eastAsia="仿宋_GB2312" w:hAnsi="仿宋_GB2312" w:cs="仿宋_GB2312" w:hint="eastAsia"/>
                <w:bCs/>
                <w:sz w:val="32"/>
                <w:szCs w:val="32"/>
              </w:rPr>
              <w:t>Huawei Technologies Co., Ltd., Shenzhen Standard Technology Research Institute</w:t>
            </w:r>
          </w:p>
        </w:tc>
      </w:tr>
      <w:tr w:rsidR="00FA61B3" w14:paraId="530A9356" w14:textId="77777777">
        <w:tc>
          <w:tcPr>
            <w:tcW w:w="3567" w:type="dxa"/>
            <w:tcBorders>
              <w:tl2br w:val="nil"/>
              <w:tr2bl w:val="nil"/>
            </w:tcBorders>
          </w:tcPr>
          <w:p w14:paraId="78E01A94" w14:textId="77777777" w:rsidR="00FA61B3" w:rsidRDefault="00000000">
            <w:pPr>
              <w:rPr>
                <w:rFonts w:ascii="Times New Roman" w:eastAsia="方正仿宋简体" w:hAnsi="Times New Roman" w:cs="Times New Roman"/>
                <w:bCs/>
                <w:kern w:val="0"/>
                <w:sz w:val="28"/>
                <w:szCs w:val="28"/>
              </w:rPr>
            </w:pPr>
            <w:r>
              <w:rPr>
                <w:rFonts w:ascii="仿宋_GB2312" w:eastAsia="仿宋_GB2312" w:hAnsi="仿宋_GB2312" w:cs="仿宋_GB2312" w:hint="eastAsia"/>
                <w:bCs/>
                <w:sz w:val="32"/>
                <w:szCs w:val="32"/>
              </w:rPr>
              <w:t xml:space="preserve">Technical </w:t>
            </w:r>
            <w:r>
              <w:rPr>
                <w:rFonts w:ascii="仿宋_GB2312" w:eastAsia="仿宋_GB2312" w:hAnsi="仿宋_GB2312" w:cs="仿宋_GB2312" w:hint="eastAsia"/>
                <w:bCs/>
                <w:sz w:val="32"/>
                <w:szCs w:val="32"/>
              </w:rPr>
              <w:lastRenderedPageBreak/>
              <w:t>Requirements for Content Development of Thing Models</w:t>
            </w:r>
          </w:p>
        </w:tc>
        <w:tc>
          <w:tcPr>
            <w:tcW w:w="6395" w:type="dxa"/>
            <w:tcBorders>
              <w:tl2br w:val="nil"/>
              <w:tr2bl w:val="nil"/>
            </w:tcBorders>
          </w:tcPr>
          <w:p w14:paraId="2A9EE9D9" w14:textId="5934968C" w:rsidR="00FA61B3" w:rsidRDefault="00000000">
            <w:pPr>
              <w:rPr>
                <w:rFonts w:ascii="仿宋_GB2312" w:eastAsia="仿宋_GB2312" w:hAnsi="仿宋_GB2312" w:cs="仿宋_GB2312"/>
                <w:bCs/>
                <w:sz w:val="32"/>
                <w:szCs w:val="32"/>
              </w:rPr>
            </w:pPr>
            <w:r>
              <w:rPr>
                <w:rFonts w:ascii="仿宋_GB2312" w:eastAsia="仿宋_GB2312" w:hAnsi="仿宋_GB2312" w:cs="仿宋_GB2312" w:hint="eastAsia"/>
                <w:bCs/>
                <w:sz w:val="32"/>
                <w:szCs w:val="32"/>
              </w:rPr>
              <w:lastRenderedPageBreak/>
              <w:t xml:space="preserve">Chengdu Smart City Information </w:t>
            </w:r>
            <w:r>
              <w:rPr>
                <w:rFonts w:ascii="仿宋_GB2312" w:eastAsia="仿宋_GB2312" w:hAnsi="仿宋_GB2312" w:cs="仿宋_GB2312" w:hint="eastAsia"/>
                <w:bCs/>
                <w:sz w:val="32"/>
                <w:szCs w:val="32"/>
              </w:rPr>
              <w:lastRenderedPageBreak/>
              <w:t xml:space="preserve">Technology Co., Ltd., China Electronics Standardization Institute, Shenzhen National High-Tech Industry Innovation Center, Hangzhou </w:t>
            </w:r>
            <w:proofErr w:type="spellStart"/>
            <w:r>
              <w:rPr>
                <w:rFonts w:ascii="仿宋_GB2312" w:eastAsia="仿宋_GB2312" w:hAnsi="仿宋_GB2312" w:cs="仿宋_GB2312" w:hint="eastAsia"/>
                <w:bCs/>
                <w:sz w:val="32"/>
                <w:szCs w:val="32"/>
              </w:rPr>
              <w:t>Xujian</w:t>
            </w:r>
            <w:proofErr w:type="spellEnd"/>
            <w:r>
              <w:rPr>
                <w:rFonts w:ascii="仿宋_GB2312" w:eastAsia="仿宋_GB2312" w:hAnsi="仿宋_GB2312" w:cs="仿宋_GB2312" w:hint="eastAsia"/>
                <w:bCs/>
                <w:sz w:val="32"/>
                <w:szCs w:val="32"/>
              </w:rPr>
              <w:t xml:space="preserve"> Technology Co., Ltd., Guangzhou </w:t>
            </w:r>
            <w:proofErr w:type="spellStart"/>
            <w:r>
              <w:rPr>
                <w:rFonts w:ascii="仿宋_GB2312" w:eastAsia="仿宋_GB2312" w:hAnsi="仿宋_GB2312" w:cs="仿宋_GB2312" w:hint="eastAsia"/>
                <w:bCs/>
                <w:sz w:val="32"/>
                <w:szCs w:val="32"/>
              </w:rPr>
              <w:t>Xinwei</w:t>
            </w:r>
            <w:proofErr w:type="spellEnd"/>
            <w:r>
              <w:rPr>
                <w:rFonts w:ascii="仿宋_GB2312" w:eastAsia="仿宋_GB2312" w:hAnsi="仿宋_GB2312" w:cs="仿宋_GB2312" w:hint="eastAsia"/>
                <w:bCs/>
                <w:sz w:val="32"/>
                <w:szCs w:val="32"/>
              </w:rPr>
              <w:t xml:space="preserve"> Smart Security Technology Co., Ltd., Shenzhen </w:t>
            </w:r>
            <w:proofErr w:type="spellStart"/>
            <w:r>
              <w:rPr>
                <w:rFonts w:ascii="仿宋_GB2312" w:eastAsia="仿宋_GB2312" w:hAnsi="仿宋_GB2312" w:cs="仿宋_GB2312" w:hint="eastAsia"/>
                <w:bCs/>
                <w:sz w:val="32"/>
                <w:szCs w:val="32"/>
              </w:rPr>
              <w:t>Xingwang</w:t>
            </w:r>
            <w:proofErr w:type="spellEnd"/>
            <w:r>
              <w:rPr>
                <w:rFonts w:ascii="仿宋_GB2312" w:eastAsia="仿宋_GB2312" w:hAnsi="仿宋_GB2312" w:cs="仿宋_GB2312" w:hint="eastAsia"/>
                <w:bCs/>
                <w:sz w:val="32"/>
                <w:szCs w:val="32"/>
              </w:rPr>
              <w:t xml:space="preserve"> Xintong Technology Co., Ltd., </w:t>
            </w:r>
            <w:r w:rsidR="00A477FA">
              <w:rPr>
                <w:rFonts w:ascii="仿宋_GB2312" w:eastAsia="仿宋_GB2312" w:hAnsi="仿宋_GB2312" w:cs="仿宋_GB2312"/>
                <w:bCs/>
                <w:sz w:val="32"/>
                <w:szCs w:val="32"/>
              </w:rPr>
              <w:t>Altai</w:t>
            </w:r>
            <w:r>
              <w:rPr>
                <w:rFonts w:ascii="仿宋_GB2312" w:eastAsia="仿宋_GB2312" w:hAnsi="仿宋_GB2312" w:cs="仿宋_GB2312" w:hint="eastAsia"/>
                <w:bCs/>
                <w:sz w:val="32"/>
                <w:szCs w:val="32"/>
              </w:rPr>
              <w:t xml:space="preserve"> Technolog</w:t>
            </w:r>
            <w:r w:rsidR="00A477FA">
              <w:rPr>
                <w:rFonts w:ascii="仿宋_GB2312" w:eastAsia="仿宋_GB2312" w:hAnsi="仿宋_GB2312" w:cs="仿宋_GB2312"/>
                <w:bCs/>
                <w:sz w:val="32"/>
                <w:szCs w:val="32"/>
              </w:rPr>
              <w:t>ies</w:t>
            </w:r>
            <w:r>
              <w:rPr>
                <w:rFonts w:ascii="仿宋_GB2312" w:eastAsia="仿宋_GB2312" w:hAnsi="仿宋_GB2312" w:cs="仿宋_GB2312" w:hint="eastAsia"/>
                <w:bCs/>
                <w:sz w:val="32"/>
                <w:szCs w:val="32"/>
              </w:rPr>
              <w:t xml:space="preserve"> L</w:t>
            </w:r>
            <w:r w:rsidR="00A477FA">
              <w:rPr>
                <w:rFonts w:ascii="仿宋_GB2312" w:eastAsia="仿宋_GB2312" w:hAnsi="仿宋_GB2312" w:cs="仿宋_GB2312"/>
                <w:bCs/>
                <w:sz w:val="32"/>
                <w:szCs w:val="32"/>
              </w:rPr>
              <w:t>imited</w:t>
            </w:r>
            <w:r>
              <w:rPr>
                <w:rFonts w:ascii="仿宋_GB2312" w:eastAsia="仿宋_GB2312" w:hAnsi="仿宋_GB2312" w:cs="仿宋_GB2312" w:hint="eastAsia"/>
                <w:bCs/>
                <w:sz w:val="32"/>
                <w:szCs w:val="32"/>
              </w:rPr>
              <w:t xml:space="preserve"> (Hong Kong), </w:t>
            </w:r>
            <w:proofErr w:type="spellStart"/>
            <w:r>
              <w:rPr>
                <w:rFonts w:ascii="仿宋_GB2312" w:eastAsia="仿宋_GB2312" w:hAnsi="仿宋_GB2312" w:cs="仿宋_GB2312" w:hint="eastAsia"/>
                <w:bCs/>
                <w:sz w:val="32"/>
                <w:szCs w:val="32"/>
              </w:rPr>
              <w:t>Longjie</w:t>
            </w:r>
            <w:proofErr w:type="spellEnd"/>
            <w:r>
              <w:rPr>
                <w:rFonts w:ascii="仿宋_GB2312" w:eastAsia="仿宋_GB2312" w:hAnsi="仿宋_GB2312" w:cs="仿宋_GB2312" w:hint="eastAsia"/>
                <w:bCs/>
                <w:sz w:val="32"/>
                <w:szCs w:val="32"/>
              </w:rPr>
              <w:t xml:space="preserve"> Technology Co., Ltd. (Hong Kong), Digital City Industrial Ecosystem Alliance (Hong Kong), China IoT Holdings Limited (Hong Kong), Macao University of Science and Technology (Macao), </w:t>
            </w:r>
            <w:proofErr w:type="spellStart"/>
            <w:r>
              <w:rPr>
                <w:rFonts w:ascii="仿宋_GB2312" w:eastAsia="仿宋_GB2312" w:hAnsi="仿宋_GB2312" w:cs="仿宋_GB2312" w:hint="eastAsia"/>
                <w:bCs/>
                <w:sz w:val="32"/>
                <w:szCs w:val="32"/>
              </w:rPr>
              <w:t>Yanhuang</w:t>
            </w:r>
            <w:proofErr w:type="spellEnd"/>
            <w:r>
              <w:rPr>
                <w:rFonts w:ascii="仿宋_GB2312" w:eastAsia="仿宋_GB2312" w:hAnsi="仿宋_GB2312" w:cs="仿宋_GB2312" w:hint="eastAsia"/>
                <w:bCs/>
                <w:sz w:val="32"/>
                <w:szCs w:val="32"/>
              </w:rPr>
              <w:t xml:space="preserve"> Group Limited (Macao)</w:t>
            </w:r>
          </w:p>
        </w:tc>
      </w:tr>
    </w:tbl>
    <w:p w14:paraId="793B4E9C" w14:textId="77777777" w:rsidR="00FA61B3" w:rsidRDefault="00000000">
      <w:pPr>
        <w:pStyle w:val="Title"/>
        <w:spacing w:before="0" w:after="0" w:line="560" w:lineRule="exact"/>
        <w:ind w:firstLineChars="200" w:firstLine="640"/>
        <w:rPr>
          <w:rFonts w:ascii="黑体" w:eastAsia="黑体" w:hAnsi="黑体" w:cs="黑体"/>
          <w:b w:val="0"/>
        </w:rPr>
      </w:pPr>
      <w:r>
        <w:rPr>
          <w:rFonts w:ascii="黑体" w:eastAsia="黑体" w:hAnsi="黑体" w:cs="黑体" w:hint="eastAsia"/>
          <w:b w:val="0"/>
        </w:rPr>
        <w:lastRenderedPageBreak/>
        <w:t>2. The necessity of standard establishment and the issues to be addressed</w:t>
      </w:r>
    </w:p>
    <w:p w14:paraId="4C0E4A84" w14:textId="77777777" w:rsidR="00FA61B3" w:rsidRDefault="00000000">
      <w:pPr>
        <w:spacing w:line="560" w:lineRule="exact"/>
        <w:ind w:firstLineChars="200" w:firstLine="640"/>
        <w:outlineLvl w:val="1"/>
        <w:rPr>
          <w:rFonts w:ascii="楷体_GB2312" w:eastAsia="楷体_GB2312" w:hAnsi="楷体_GB2312" w:cs="楷体_GB2312"/>
          <w:bCs/>
          <w:sz w:val="32"/>
          <w:szCs w:val="32"/>
        </w:rPr>
      </w:pPr>
      <w:r>
        <w:rPr>
          <w:rFonts w:ascii="楷体_GB2312" w:eastAsia="楷体_GB2312" w:hAnsi="楷体_GB2312" w:cs="楷体_GB2312" w:hint="eastAsia"/>
          <w:bCs/>
          <w:sz w:val="32"/>
          <w:szCs w:val="32"/>
        </w:rPr>
        <w:t>(1) The Necessity of Project Approval</w:t>
      </w:r>
    </w:p>
    <w:p w14:paraId="6EE4670F" w14:textId="77777777" w:rsidR="00FA61B3" w:rsidRDefault="00000000">
      <w:pPr>
        <w:pStyle w:val="Heading2"/>
        <w:spacing w:before="0" w:after="0" w:line="560" w:lineRule="exact"/>
        <w:ind w:firstLineChars="200" w:firstLine="640"/>
        <w:rPr>
          <w:rFonts w:ascii="仿宋_GB2312" w:eastAsia="仿宋_GB2312" w:hAnsi="仿宋_GB2312" w:cs="仿宋_GB2312"/>
          <w:b w:val="0"/>
        </w:rPr>
      </w:pPr>
      <w:r>
        <w:rPr>
          <w:rFonts w:ascii="仿宋_GB2312" w:eastAsia="仿宋_GB2312" w:hAnsi="仿宋_GB2312" w:cs="仿宋_GB2312" w:hint="eastAsia"/>
          <w:b w:val="0"/>
        </w:rPr>
        <w:lastRenderedPageBreak/>
        <w:t>China's smart city construction has entered a new phase of comprehensive digital and intelligent transformation, ushering in a new chapter of system restructuring and quality improvement. In August 2014, the National Development and Reform Commission and seven other ministries jointly issued the "Guiding Opinions on Promoting the Healthy Development of Smart Cities" (NDRC High-Tech [2014] No. 1770), aiming to address issues such as the lack of top-level design and overall planning, lagging institutional innovation, and prominent network security risks in China's smart city construction at that time. This document played a crucial role in standardizing and promoting the healthy development of smart cities in China. In May 2024, the "Guiding Opinions on Deepening Smart City Development and Promoting Comprehensive Digital Transformation of Cities" (NDRC Data [2024] No. 660) was issued, marking the entry of China's smart city construction into a new stage of deepened development.</w:t>
      </w:r>
    </w:p>
    <w:p w14:paraId="622429B3" w14:textId="77777777" w:rsidR="00FA61B3" w:rsidRDefault="00000000">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 xml:space="preserve">Firstly, the technological architecture is rapidly reshaping, comprehensively enhancing the support for urban digital transformation. In the new era of smart city construction, it is essential to emphasize the reconstruction of the urban digital foundation with a systematic approach, breaking through the traditional model of stacking single-point technologies. This involves a systematic layout and integrated advancement to </w:t>
      </w:r>
      <w:r>
        <w:rPr>
          <w:rFonts w:ascii="仿宋_GB2312" w:eastAsia="仿宋_GB2312" w:hAnsi="仿宋_GB2312" w:cs="仿宋_GB2312" w:hint="eastAsia"/>
          <w:bCs/>
          <w:sz w:val="32"/>
          <w:szCs w:val="32"/>
        </w:rPr>
        <w:lastRenderedPageBreak/>
        <w:t>accelerate the construction of a future-oriented urban digital foundation. This includes building a self-controlled computing power infrastructure, establishing a cross-departmental data integration system, and upgrading the creation of an AI-based integrated urban-wide perception and collaborative decision-making support capability.</w:t>
      </w:r>
    </w:p>
    <w:p w14:paraId="461B3DBF" w14:textId="77777777" w:rsidR="00FA61B3" w:rsidRDefault="00000000">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Secondly, institutional innovation continues to deepen, optimizing the urban digital transformation ecosystem throughout the entire process. In the new era of smart city construction, it is essential to focus on the mutual promotion of institutional innovation and technological innovation, advancing both construction and operation in parallel. Through appropriate institutional innovations, a regulatory system compatible with digital development is established, continuously innovating the operational and maintenance models of smart cities. This optimizes the urban digital transformation ecosystem throughout the entire process, promoting process reengineering, model transformation, and method reshaping.</w:t>
      </w:r>
    </w:p>
    <w:p w14:paraId="1B9BC0AE" w14:textId="77777777" w:rsidR="00FA61B3" w:rsidRDefault="00000000">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 xml:space="preserve">Thirdly, data-driven continuous enhancement empowers urban digital transformation scenarios across all domains. In the new era of smart city construction, it is essential to emphasize the integration and utilization of data throughout the entire process of urban digital transformation. This approach drives </w:t>
      </w:r>
      <w:r>
        <w:rPr>
          <w:rFonts w:ascii="仿宋_GB2312" w:eastAsia="仿宋_GB2312" w:hAnsi="仿宋_GB2312" w:cs="仿宋_GB2312" w:hint="eastAsia"/>
          <w:bCs/>
          <w:sz w:val="32"/>
          <w:szCs w:val="32"/>
        </w:rPr>
        <w:lastRenderedPageBreak/>
        <w:t xml:space="preserve">comprehensive economic and social development through data, creating an upgraded version of smart cities that balances modern urban governance with modern industrial systems. It provides rich application scenarios for industrial agglomeration and digital economic </w:t>
      </w:r>
      <w:proofErr w:type="gramStart"/>
      <w:r>
        <w:rPr>
          <w:rFonts w:ascii="仿宋_GB2312" w:eastAsia="仿宋_GB2312" w:hAnsi="仿宋_GB2312" w:cs="仿宋_GB2312" w:hint="eastAsia"/>
          <w:bCs/>
          <w:sz w:val="32"/>
          <w:szCs w:val="32"/>
        </w:rPr>
        <w:t>development, and</w:t>
      </w:r>
      <w:proofErr w:type="gramEnd"/>
      <w:r>
        <w:rPr>
          <w:rFonts w:ascii="仿宋_GB2312" w:eastAsia="仿宋_GB2312" w:hAnsi="仿宋_GB2312" w:cs="仿宋_GB2312" w:hint="eastAsia"/>
          <w:bCs/>
          <w:sz w:val="32"/>
          <w:szCs w:val="32"/>
        </w:rPr>
        <w:t xml:space="preserve"> establishes practical and promotional platforms for the integrated innovation and application of new digital technologies and products.</w:t>
      </w:r>
    </w:p>
    <w:p w14:paraId="124F0D32" w14:textId="77777777" w:rsidR="00FA61B3" w:rsidRDefault="00000000">
      <w:pPr>
        <w:pStyle w:val="Title"/>
        <w:spacing w:before="0" w:after="0"/>
        <w:ind w:left="720"/>
        <w:rPr>
          <w:rFonts w:ascii="楷体_GB2312" w:eastAsia="楷体_GB2312" w:hAnsi="楷体_GB2312" w:cs="楷体_GB2312"/>
          <w:b w:val="0"/>
        </w:rPr>
      </w:pPr>
      <w:r>
        <w:rPr>
          <w:rFonts w:ascii="楷体_GB2312" w:eastAsia="楷体_GB2312" w:hAnsi="楷体_GB2312" w:cs="楷体_GB2312" w:hint="eastAsia"/>
          <w:b w:val="0"/>
        </w:rPr>
        <w:t>(2) Proposed Problems to Solve</w:t>
      </w:r>
    </w:p>
    <w:p w14:paraId="14FF6F01" w14:textId="77777777" w:rsidR="00FA61B3" w:rsidRDefault="00000000">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shd w:val="clear" w:color="auto" w:fill="FFFFFF"/>
        </w:rPr>
        <w:t xml:space="preserve">With the deepening advancement of new urbanization and the construction of Digital China, urban governance is gradually transitioning towards digitalization and intelligence. The urban sensing system, as the core foundation for the digital and intelligent development of cities, is increasingly becoming a crucial bridge connecting the physical and digital worlds. The rapid development of Internet of Things (IoT) technology has led to a sharp increase in the variety and number of urban sensing devices. However, due to the lack of a unified physical model standard during the processes of data collection, transmission, and processing, these devices face issues such as inconsistent data formats, incompatible interface protocols, and significant challenges in system integration. These problems severely hinder the efficient collaboration and large-scale application of urban sensing systems. Therefore, the development of standard specifications for urban sensing </w:t>
      </w:r>
      <w:r>
        <w:rPr>
          <w:rFonts w:ascii="仿宋_GB2312" w:eastAsia="仿宋_GB2312" w:hAnsi="仿宋_GB2312" w:cs="仿宋_GB2312" w:hint="eastAsia"/>
          <w:bCs/>
          <w:sz w:val="32"/>
          <w:szCs w:val="32"/>
          <w:shd w:val="clear" w:color="auto" w:fill="FFFFFF"/>
        </w:rPr>
        <w:lastRenderedPageBreak/>
        <w:t>systems can provide construction guidance and implementation references for the planning, design, development, and application of these systems. This approach can avoid issues such as poor interconnectivity, numerous technical routes, inconsistent performance experiences, and difficulties in continuous upgrade and maintenance during the construction process, thereby ensuring that the development of urban sensing systems is conducted in an orderly and regulated manner. It holds significant importance for guiding and promoting the standardized construction of urban sensing systems, as well as for driving the orderly, healthy, and sustainable development of industries.</w:t>
      </w:r>
    </w:p>
    <w:p w14:paraId="1B6E00A8" w14:textId="77777777" w:rsidR="00FA61B3" w:rsidRDefault="00000000">
      <w:pPr>
        <w:spacing w:line="560" w:lineRule="exact"/>
        <w:ind w:firstLineChars="200" w:firstLine="640"/>
        <w:outlineLvl w:val="0"/>
        <w:rPr>
          <w:rStyle w:val="1"/>
          <w:rFonts w:ascii="黑体" w:eastAsia="黑体" w:hAnsi="黑体" w:cs="黑体"/>
          <w:bCs/>
          <w:sz w:val="32"/>
          <w:szCs w:val="32"/>
        </w:rPr>
      </w:pPr>
      <w:r>
        <w:rPr>
          <w:rStyle w:val="1"/>
          <w:rFonts w:ascii="黑体" w:eastAsia="黑体" w:hAnsi="黑体" w:cs="黑体" w:hint="eastAsia"/>
          <w:bCs/>
          <w:sz w:val="32"/>
          <w:szCs w:val="32"/>
        </w:rPr>
        <w:t>3. Determination of Standard Development Principles and Main Content</w:t>
      </w:r>
    </w:p>
    <w:p w14:paraId="7E400E16" w14:textId="77777777" w:rsidR="00FA61B3" w:rsidRDefault="00000000">
      <w:pPr>
        <w:spacing w:line="560" w:lineRule="exact"/>
        <w:ind w:firstLineChars="200" w:firstLine="640"/>
        <w:rPr>
          <w:rStyle w:val="1"/>
          <w:rFonts w:ascii="楷体_GB2312" w:eastAsia="楷体_GB2312" w:hAnsi="楷体_GB2312" w:cs="楷体_GB2312"/>
          <w:bCs/>
          <w:sz w:val="32"/>
          <w:szCs w:val="32"/>
        </w:rPr>
      </w:pPr>
      <w:r>
        <w:rPr>
          <w:rStyle w:val="1"/>
          <w:rFonts w:ascii="楷体_GB2312" w:eastAsia="楷体_GB2312" w:hAnsi="楷体_GB2312" w:cs="楷体_GB2312" w:hint="eastAsia"/>
          <w:bCs/>
          <w:sz w:val="32"/>
          <w:szCs w:val="32"/>
        </w:rPr>
        <w:t>(1) Principles for Standard Development</w:t>
      </w:r>
    </w:p>
    <w:p w14:paraId="40305AA9" w14:textId="77777777" w:rsidR="00FA61B3" w:rsidRDefault="00000000">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This standard is strictly prepared in accordance with the relevant provisions of GB/T 1.1-2020 "Guidelines for Standardization Part 1: Structure and Drafting Rules of Standardization Documents."</w:t>
      </w:r>
    </w:p>
    <w:p w14:paraId="4F0DE788" w14:textId="77777777" w:rsidR="00FA61B3" w:rsidRDefault="00000000">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 xml:space="preserve">This standard serves as the specific technical basis for guiding the construction of urban sensing system object models, and it also forms the foundation for establishing quality evaluation standards, engineering standards, and application standards for related platforms. It plays a crucial foundational </w:t>
      </w:r>
      <w:r>
        <w:rPr>
          <w:rFonts w:ascii="仿宋_GB2312" w:eastAsia="仿宋_GB2312" w:hAnsi="仿宋_GB2312" w:cs="仿宋_GB2312" w:hint="eastAsia"/>
          <w:bCs/>
          <w:sz w:val="32"/>
          <w:szCs w:val="32"/>
        </w:rPr>
        <w:lastRenderedPageBreak/>
        <w:t>supporting role in the planning and construction of urban sensing systems. This standard should be consistent with relevant national standards.</w:t>
      </w:r>
    </w:p>
    <w:p w14:paraId="6BB726BB" w14:textId="77777777" w:rsidR="00FA61B3" w:rsidRDefault="00000000">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Adopt a work approach that integrates theory with practice, actively carry out pilot verification of standards, solidify the construction experience of typical and effective urban sensing system object models into standards, and strengthen the application and implementation of these standards to enhance their applicability and practicality.</w:t>
      </w:r>
    </w:p>
    <w:p w14:paraId="2DA3FCEA" w14:textId="77777777" w:rsidR="00FA61B3" w:rsidRDefault="00000000">
      <w:pPr>
        <w:spacing w:line="560" w:lineRule="exact"/>
        <w:ind w:firstLineChars="200" w:firstLine="640"/>
        <w:rPr>
          <w:rStyle w:val="1"/>
          <w:rFonts w:ascii="楷体_GB2312" w:eastAsia="楷体_GB2312" w:hAnsi="楷体_GB2312" w:cs="楷体_GB2312"/>
          <w:bCs/>
          <w:sz w:val="32"/>
          <w:szCs w:val="32"/>
        </w:rPr>
      </w:pPr>
      <w:r>
        <w:rPr>
          <w:rStyle w:val="1"/>
          <w:rFonts w:ascii="楷体_GB2312" w:eastAsia="楷体_GB2312" w:hAnsi="楷体_GB2312" w:cs="楷体_GB2312" w:hint="eastAsia"/>
          <w:bCs/>
          <w:sz w:val="32"/>
          <w:szCs w:val="32"/>
        </w:rPr>
        <w:t>(2) The main content of the standard</w:t>
      </w:r>
    </w:p>
    <w:p w14:paraId="36703C68" w14:textId="77777777" w:rsidR="00FA61B3" w:rsidRDefault="00000000">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This document establishes the overall architecture of the urban sensing system's thing model and specifies the elements and feature lists of the thing model.</w:t>
      </w:r>
    </w:p>
    <w:p w14:paraId="6FE746A1" w14:textId="77777777" w:rsidR="00FA61B3" w:rsidRDefault="00000000">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This document applies to the design, development, and application of the physical model for urban sensing systems.</w:t>
      </w:r>
    </w:p>
    <w:p w14:paraId="0D83E322" w14:textId="77777777" w:rsidR="00FA61B3" w:rsidRDefault="00000000">
      <w:pPr>
        <w:spacing w:line="560" w:lineRule="exact"/>
        <w:ind w:firstLineChars="200" w:firstLine="640"/>
        <w:outlineLvl w:val="0"/>
        <w:rPr>
          <w:rStyle w:val="1"/>
          <w:rFonts w:ascii="黑体" w:eastAsia="黑体" w:hAnsi="黑体" w:cs="黑体"/>
          <w:bCs/>
          <w:sz w:val="32"/>
          <w:szCs w:val="32"/>
        </w:rPr>
      </w:pPr>
      <w:r>
        <w:rPr>
          <w:rStyle w:val="1"/>
          <w:rFonts w:ascii="黑体" w:eastAsia="黑体" w:hAnsi="黑体" w:cs="黑体" w:hint="eastAsia"/>
          <w:bCs/>
          <w:sz w:val="32"/>
          <w:szCs w:val="32"/>
        </w:rPr>
        <w:t>4. Analysis of Key Tests or Verification Situations</w:t>
      </w:r>
    </w:p>
    <w:p w14:paraId="213AF6E5" w14:textId="77777777" w:rsidR="00FA61B3" w:rsidRDefault="00000000">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During the development of this standard, extensive reference was made to the practical experiences of related urban sensing system constructions, and stakeholders involved in the construction of relevant platforms were also incorporated into the development process.</w:t>
      </w:r>
    </w:p>
    <w:p w14:paraId="003D9AFC" w14:textId="77777777" w:rsidR="00FA61B3" w:rsidRDefault="00000000">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 xml:space="preserve">During the standard development process, research, verification, and analysis of the standard content were conducted simultaneously in regions such as Nanjing and </w:t>
      </w:r>
      <w:r>
        <w:rPr>
          <w:rFonts w:ascii="仿宋_GB2312" w:eastAsia="仿宋_GB2312" w:hAnsi="仿宋_GB2312" w:cs="仿宋_GB2312" w:hint="eastAsia"/>
          <w:bCs/>
          <w:sz w:val="32"/>
          <w:szCs w:val="32"/>
        </w:rPr>
        <w:lastRenderedPageBreak/>
        <w:t>Wuhan, with timely improvements made to the standard content.</w:t>
      </w:r>
    </w:p>
    <w:p w14:paraId="39773202" w14:textId="77777777" w:rsidR="00FA61B3" w:rsidRDefault="00000000">
      <w:pPr>
        <w:spacing w:line="560" w:lineRule="exact"/>
        <w:ind w:firstLineChars="200" w:firstLine="640"/>
        <w:outlineLvl w:val="1"/>
        <w:rPr>
          <w:rFonts w:ascii="仿宋_GB2312" w:eastAsia="仿宋_GB2312" w:hAnsi="仿宋_GB2312" w:cs="仿宋_GB2312"/>
          <w:bCs/>
          <w:sz w:val="32"/>
          <w:szCs w:val="32"/>
        </w:rPr>
      </w:pPr>
      <w:r>
        <w:rPr>
          <w:rFonts w:ascii="黑体" w:eastAsia="黑体" w:hAnsi="黑体" w:cs="黑体" w:hint="eastAsia"/>
          <w:bCs/>
          <w:sz w:val="32"/>
          <w:szCs w:val="32"/>
        </w:rPr>
        <w:t>5. The standard has undergone research, discussions, solicitation of opinions, and review by experts from the three regions of Guangdong, Hong Kong, and Macao.</w:t>
      </w:r>
    </w:p>
    <w:p w14:paraId="388E90B0" w14:textId="77777777" w:rsidR="00FA61B3" w:rsidRDefault="00000000">
      <w:pPr>
        <w:pStyle w:val="BodyTextFirstIndent2"/>
        <w:spacing w:after="0" w:line="560" w:lineRule="exact"/>
        <w:ind w:leftChars="0" w:left="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The drafting organization of the standard was led by the Shenzhen Institute of Standardization and Technology. After establishing the task of formulating this standard, the drafting team developed a detailed project implementation plan, clearly defining the tasks, objectives, output products, and timeline requirements for each phase. The drafting team conducted meticulous data collection, research, and standard writing. The draft standard underwent multiple rounds of discussions and revisions for improvement. Throughout the stages of research, drafting, discussion, solicitation of opinions, and technical review, experts from the three regions were organized to discuss and confirm the content of the standard, standard modifications, and the handling of opinions, reaching a consensus.</w:t>
      </w:r>
    </w:p>
    <w:p w14:paraId="792C2757" w14:textId="77777777" w:rsidR="00FA61B3" w:rsidRDefault="00000000">
      <w:pPr>
        <w:spacing w:line="560" w:lineRule="exact"/>
        <w:ind w:firstLineChars="200" w:firstLine="640"/>
        <w:rPr>
          <w:rFonts w:ascii="楷体_GB2312" w:eastAsia="楷体_GB2312" w:hAnsi="楷体_GB2312" w:cs="楷体_GB2312"/>
          <w:bCs/>
          <w:sz w:val="32"/>
          <w:szCs w:val="32"/>
        </w:rPr>
      </w:pPr>
      <w:r>
        <w:rPr>
          <w:rFonts w:ascii="楷体_GB2312" w:eastAsia="楷体_GB2312" w:hAnsi="楷体_GB2312" w:cs="楷体_GB2312" w:hint="eastAsia"/>
          <w:bCs/>
          <w:sz w:val="32"/>
          <w:szCs w:val="32"/>
        </w:rPr>
        <w:t>(1) Preliminary Research and Call for Participation in Drafting Standards</w:t>
      </w:r>
    </w:p>
    <w:p w14:paraId="6FF19CC1" w14:textId="77777777" w:rsidR="00FA61B3" w:rsidRDefault="00000000">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 xml:space="preserve">The standardization team initiated the research and refinement of the draft standard from June to July 2024, clarifying the standard framework for "Requirements for Urban Perception System Object Models" as well as the objectives and </w:t>
      </w:r>
      <w:r>
        <w:rPr>
          <w:rFonts w:ascii="仿宋_GB2312" w:eastAsia="仿宋_GB2312" w:hAnsi="仿宋_GB2312" w:cs="仿宋_GB2312" w:hint="eastAsia"/>
          <w:bCs/>
          <w:sz w:val="32"/>
          <w:szCs w:val="32"/>
        </w:rPr>
        <w:lastRenderedPageBreak/>
        <w:t>key points for each section. Additionally, the team solicited participating units for the standard within the smart city industry ecosystem and the digital city industry ecosystem alliance.</w:t>
      </w:r>
    </w:p>
    <w:p w14:paraId="4BA9D8A6" w14:textId="77777777" w:rsidR="00FA61B3" w:rsidRDefault="00000000">
      <w:pPr>
        <w:spacing w:line="560" w:lineRule="exact"/>
        <w:ind w:firstLineChars="200" w:firstLine="640"/>
        <w:rPr>
          <w:rFonts w:ascii="楷体_GB2312" w:eastAsia="楷体_GB2312" w:hAnsi="楷体_GB2312" w:cs="楷体_GB2312"/>
          <w:bCs/>
          <w:sz w:val="32"/>
          <w:szCs w:val="32"/>
        </w:rPr>
      </w:pPr>
      <w:r>
        <w:rPr>
          <w:rFonts w:ascii="楷体_GB2312" w:eastAsia="楷体_GB2312" w:hAnsi="楷体_GB2312" w:cs="楷体_GB2312" w:hint="eastAsia"/>
          <w:bCs/>
          <w:sz w:val="32"/>
          <w:szCs w:val="32"/>
        </w:rPr>
        <w:t>(2) Standard Development Kick-off Meeting and First Workshop</w:t>
      </w:r>
    </w:p>
    <w:p w14:paraId="22A7F611" w14:textId="77777777" w:rsidR="00FA61B3" w:rsidRDefault="00000000">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The standard development team held an inaugural meeting and the first discussion session via an online conference on October 21, 2024. The meeting was chaired by the Secretariat, during which the team engaged in in-depth discussions on the framework, content, subsequent work plans, and task assignments for the "Requirements for Urban Perception System Object Models."</w:t>
      </w:r>
    </w:p>
    <w:p w14:paraId="627B9FC9" w14:textId="77777777" w:rsidR="00FA61B3" w:rsidRDefault="00000000">
      <w:pPr>
        <w:spacing w:line="560" w:lineRule="exact"/>
        <w:ind w:firstLineChars="200" w:firstLine="640"/>
        <w:rPr>
          <w:rFonts w:ascii="楷体_GB2312" w:eastAsia="楷体_GB2312" w:hAnsi="楷体_GB2312" w:cs="楷体_GB2312"/>
          <w:bCs/>
          <w:sz w:val="32"/>
          <w:szCs w:val="32"/>
        </w:rPr>
      </w:pPr>
      <w:r>
        <w:rPr>
          <w:rFonts w:ascii="楷体_GB2312" w:eastAsia="楷体_GB2312" w:hAnsi="楷体_GB2312" w:cs="楷体_GB2312" w:hint="eastAsia"/>
          <w:bCs/>
          <w:sz w:val="32"/>
          <w:szCs w:val="32"/>
        </w:rPr>
        <w:t>(3) The second standard seminar was held.</w:t>
      </w:r>
    </w:p>
    <w:p w14:paraId="61C6E19E" w14:textId="77777777" w:rsidR="00FA61B3" w:rsidRDefault="00000000">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According to the project schedule, the standard development team held the second discussion meeting via an online conference on November 13, 2024. The team conducted an in-depth discussion on the technical details of the "Requirements for the Physical Model of Urban Perception Systems." Subsequently, the lead unit revised the content to form a draft for comments.</w:t>
      </w:r>
    </w:p>
    <w:p w14:paraId="68ECDC00" w14:textId="77777777" w:rsidR="00FA61B3" w:rsidRDefault="00000000">
      <w:pPr>
        <w:spacing w:line="560" w:lineRule="exact"/>
        <w:ind w:firstLineChars="200" w:firstLine="640"/>
        <w:rPr>
          <w:rFonts w:ascii="楷体_GB2312" w:eastAsia="楷体_GB2312" w:hAnsi="楷体_GB2312" w:cs="楷体_GB2312"/>
          <w:bCs/>
          <w:kern w:val="0"/>
          <w:sz w:val="32"/>
          <w:szCs w:val="32"/>
        </w:rPr>
      </w:pPr>
      <w:r>
        <w:rPr>
          <w:rFonts w:ascii="楷体_GB2312" w:eastAsia="楷体_GB2312" w:hAnsi="楷体_GB2312" w:cs="楷体_GB2312" w:hint="eastAsia"/>
          <w:bCs/>
          <w:kern w:val="0"/>
          <w:sz w:val="32"/>
          <w:szCs w:val="32"/>
        </w:rPr>
        <w:t>(4) Drafting the Standard for Public Comment</w:t>
      </w:r>
    </w:p>
    <w:p w14:paraId="7071608D" w14:textId="77777777" w:rsidR="00FA61B3" w:rsidRDefault="00000000">
      <w:pPr>
        <w:spacing w:line="560" w:lineRule="exact"/>
        <w:ind w:firstLineChars="200" w:firstLine="64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 xml:space="preserve">From February 24, 2025, to April 14, 2025, the Smart City Industry Ecosystem, Digital City Industry Ecosystem Alliance, </w:t>
      </w:r>
      <w:r>
        <w:rPr>
          <w:rFonts w:ascii="仿宋_GB2312" w:eastAsia="仿宋_GB2312" w:hAnsi="仿宋_GB2312" w:cs="仿宋_GB2312" w:hint="eastAsia"/>
          <w:bCs/>
          <w:kern w:val="0"/>
          <w:sz w:val="32"/>
          <w:szCs w:val="32"/>
        </w:rPr>
        <w:lastRenderedPageBreak/>
        <w:t>and Shenzhen Internet of Things Industry Association respectively solicited public opinions through their WeChat official accounts, association websites, and the National Group Standard Information Platform. A total of 0 opinions were received.</w:t>
      </w:r>
    </w:p>
    <w:p w14:paraId="19C05417" w14:textId="77777777" w:rsidR="00FA61B3" w:rsidRDefault="00000000">
      <w:pPr>
        <w:adjustRightInd w:val="0"/>
        <w:spacing w:line="560" w:lineRule="exact"/>
        <w:ind w:firstLineChars="200" w:firstLine="640"/>
        <w:outlineLvl w:val="0"/>
        <w:rPr>
          <w:rFonts w:ascii="黑体" w:eastAsia="黑体" w:hAnsi="黑体" w:cs="黑体"/>
          <w:bCs/>
          <w:sz w:val="32"/>
          <w:szCs w:val="32"/>
        </w:rPr>
      </w:pPr>
      <w:r>
        <w:rPr>
          <w:rFonts w:ascii="黑体" w:eastAsia="黑体" w:hAnsi="黑体" w:cs="黑体" w:hint="eastAsia"/>
          <w:bCs/>
          <w:sz w:val="32"/>
          <w:szCs w:val="32"/>
        </w:rPr>
        <w:t>7. The process and basis for handling significant divergent opinions</w:t>
      </w:r>
    </w:p>
    <w:p w14:paraId="31FA4540" w14:textId="77777777" w:rsidR="00FA61B3" w:rsidRDefault="00000000">
      <w:pPr>
        <w:adjustRightInd w:val="0"/>
        <w:spacing w:line="560" w:lineRule="exact"/>
        <w:ind w:firstLineChars="200" w:firstLine="640"/>
        <w:outlineLvl w:val="0"/>
        <w:rPr>
          <w:rFonts w:ascii="黑体" w:eastAsia="黑体" w:hAnsi="黑体" w:cs="黑体"/>
          <w:bCs/>
          <w:sz w:val="32"/>
          <w:szCs w:val="32"/>
        </w:rPr>
      </w:pPr>
      <w:r>
        <w:rPr>
          <w:rFonts w:ascii="仿宋_GB2312" w:eastAsia="仿宋_GB2312" w:hAnsi="仿宋_GB2312" w:cs="仿宋_GB2312" w:hint="eastAsia"/>
          <w:bCs/>
          <w:sz w:val="32"/>
          <w:szCs w:val="32"/>
        </w:rPr>
        <w:t xml:space="preserve">During the process of soliciting opinions, no significant divergences were encountered. The drafting team conducted thorough research and analysis on the differing opinions and suggestions raised by individual units and </w:t>
      </w:r>
      <w:proofErr w:type="gramStart"/>
      <w:r>
        <w:rPr>
          <w:rFonts w:ascii="仿宋_GB2312" w:eastAsia="仿宋_GB2312" w:hAnsi="仿宋_GB2312" w:cs="仿宋_GB2312" w:hint="eastAsia"/>
          <w:bCs/>
          <w:sz w:val="32"/>
          <w:szCs w:val="32"/>
        </w:rPr>
        <w:t>experts, and</w:t>
      </w:r>
      <w:proofErr w:type="gramEnd"/>
      <w:r>
        <w:rPr>
          <w:rFonts w:ascii="仿宋_GB2312" w:eastAsia="仿宋_GB2312" w:hAnsi="仿宋_GB2312" w:cs="仿宋_GB2312" w:hint="eastAsia"/>
          <w:bCs/>
          <w:sz w:val="32"/>
          <w:szCs w:val="32"/>
        </w:rPr>
        <w:t xml:space="preserve"> engaged in extensive communication and exchange with the contributors to reach a consensus. For certain technical details, reasonable solutions were determined through further experimental research and data analysis, ensuring that the standard content is scientific, reasonable, and feasible.</w:t>
      </w:r>
    </w:p>
    <w:p w14:paraId="4ABD7FB1" w14:textId="77777777" w:rsidR="00FA61B3" w:rsidRDefault="00000000">
      <w:pPr>
        <w:adjustRightInd w:val="0"/>
        <w:spacing w:line="560" w:lineRule="exact"/>
        <w:ind w:firstLineChars="200" w:firstLine="640"/>
        <w:outlineLvl w:val="0"/>
        <w:rPr>
          <w:rFonts w:ascii="黑体" w:eastAsia="黑体" w:hAnsi="黑体" w:cs="黑体"/>
          <w:bCs/>
          <w:sz w:val="32"/>
          <w:szCs w:val="32"/>
        </w:rPr>
      </w:pPr>
      <w:r>
        <w:rPr>
          <w:rFonts w:ascii="黑体" w:eastAsia="黑体" w:hAnsi="黑体" w:cs="黑体" w:hint="eastAsia"/>
          <w:bCs/>
          <w:sz w:val="32"/>
          <w:szCs w:val="32"/>
        </w:rPr>
        <w:t>8. Standard Comparison and Analysis of Adoption Status</w:t>
      </w:r>
    </w:p>
    <w:p w14:paraId="0ED2A933" w14:textId="77777777" w:rsidR="00FA61B3" w:rsidRDefault="00000000">
      <w:pPr>
        <w:adjustRightInd w:val="0"/>
        <w:spacing w:line="560" w:lineRule="exact"/>
        <w:ind w:firstLineChars="200" w:firstLine="640"/>
        <w:outlineLvl w:val="0"/>
        <w:rPr>
          <w:rFonts w:ascii="楷体_GB2312" w:eastAsia="楷体_GB2312" w:hAnsi="楷体_GB2312" w:cs="楷体_GB2312"/>
          <w:bCs/>
          <w:sz w:val="32"/>
          <w:szCs w:val="32"/>
        </w:rPr>
      </w:pPr>
      <w:r>
        <w:rPr>
          <w:rFonts w:ascii="楷体_GB2312" w:eastAsia="楷体_GB2312" w:hAnsi="楷体_GB2312" w:cs="楷体_GB2312" w:hint="eastAsia"/>
          <w:bCs/>
          <w:sz w:val="32"/>
          <w:szCs w:val="32"/>
        </w:rPr>
        <w:t>(1) International Standard</w:t>
      </w:r>
    </w:p>
    <w:p w14:paraId="05A1D65D" w14:textId="77777777" w:rsidR="00FA61B3" w:rsidRDefault="00000000">
      <w:pPr>
        <w:adjustRightInd w:val="0"/>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None</w:t>
      </w:r>
    </w:p>
    <w:p w14:paraId="0AA98809" w14:textId="77777777" w:rsidR="00FA61B3" w:rsidRDefault="00000000">
      <w:pPr>
        <w:adjustRightInd w:val="0"/>
        <w:spacing w:line="560" w:lineRule="exact"/>
        <w:ind w:firstLineChars="200" w:firstLine="640"/>
        <w:outlineLvl w:val="0"/>
        <w:rPr>
          <w:rFonts w:ascii="楷体_GB2312" w:eastAsia="楷体_GB2312" w:hAnsi="楷体_GB2312" w:cs="楷体_GB2312"/>
          <w:bCs/>
          <w:sz w:val="32"/>
          <w:szCs w:val="32"/>
        </w:rPr>
      </w:pPr>
      <w:r>
        <w:rPr>
          <w:rFonts w:ascii="楷体_GB2312" w:eastAsia="楷体_GB2312" w:hAnsi="楷体_GB2312" w:cs="楷体_GB2312" w:hint="eastAsia"/>
          <w:bCs/>
          <w:sz w:val="32"/>
          <w:szCs w:val="32"/>
        </w:rPr>
        <w:t>(2) National Standard</w:t>
      </w:r>
    </w:p>
    <w:p w14:paraId="1D4D7FF7" w14:textId="77777777" w:rsidR="00FA61B3" w:rsidRDefault="00000000">
      <w:pPr>
        <w:adjustRightInd w:val="0"/>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None</w:t>
      </w:r>
    </w:p>
    <w:p w14:paraId="3B4A6678" w14:textId="77777777" w:rsidR="00FA61B3" w:rsidRDefault="00000000">
      <w:pPr>
        <w:adjustRightInd w:val="0"/>
        <w:spacing w:line="560" w:lineRule="exact"/>
        <w:ind w:firstLineChars="200" w:firstLine="640"/>
        <w:outlineLvl w:val="0"/>
        <w:rPr>
          <w:rFonts w:ascii="楷体_GB2312" w:eastAsia="楷体_GB2312" w:hAnsi="楷体_GB2312" w:cs="楷体_GB2312"/>
          <w:bCs/>
          <w:sz w:val="32"/>
          <w:szCs w:val="32"/>
        </w:rPr>
      </w:pPr>
      <w:r>
        <w:rPr>
          <w:rFonts w:ascii="楷体_GB2312" w:eastAsia="楷体_GB2312" w:hAnsi="楷体_GB2312" w:cs="楷体_GB2312" w:hint="eastAsia"/>
          <w:bCs/>
          <w:sz w:val="32"/>
          <w:szCs w:val="32"/>
        </w:rPr>
        <w:t>(3) Industry Standard</w:t>
      </w:r>
    </w:p>
    <w:p w14:paraId="5AC9C370" w14:textId="77777777" w:rsidR="00FA61B3" w:rsidRDefault="00000000">
      <w:pPr>
        <w:adjustRightInd w:val="0"/>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 xml:space="preserve">To be used in conjunction with the industry standards "General Technical Specification for Urban Perception System of </w:t>
      </w:r>
      <w:r>
        <w:rPr>
          <w:rFonts w:ascii="仿宋_GB2312" w:eastAsia="仿宋_GB2312" w:hAnsi="仿宋_GB2312" w:cs="仿宋_GB2312" w:hint="eastAsia"/>
          <w:bCs/>
          <w:sz w:val="32"/>
          <w:szCs w:val="32"/>
        </w:rPr>
        <w:lastRenderedPageBreak/>
        <w:t>Smart Cities" (Project No.: 2023-0568T-SJ) and "Operating System Specification for Terminal Devices of Urban Perception System in Smart Cities" (Project No.: 2023-0567T-SJ).</w:t>
      </w:r>
    </w:p>
    <w:p w14:paraId="538A5C2A" w14:textId="77777777" w:rsidR="00FA61B3" w:rsidRDefault="00000000">
      <w:pPr>
        <w:spacing w:line="560" w:lineRule="exact"/>
        <w:ind w:firstLineChars="200" w:firstLine="64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(4) Other provinces' equivalent standards</w:t>
      </w:r>
    </w:p>
    <w:p w14:paraId="7DFE9A3C" w14:textId="77777777" w:rsidR="00FA61B3" w:rsidRDefault="00000000">
      <w:pPr>
        <w:spacing w:line="560" w:lineRule="exact"/>
        <w:ind w:firstLineChars="200" w:firstLine="640"/>
        <w:jc w:val="left"/>
        <w:rPr>
          <w:rFonts w:ascii="仿宋_GB2312" w:eastAsia="仿宋_GB2312" w:hAnsi="仿宋_GB2312" w:cs="仿宋_GB2312"/>
          <w:bCs/>
          <w:sz w:val="32"/>
          <w:szCs w:val="32"/>
        </w:rPr>
      </w:pPr>
      <w:r>
        <w:rPr>
          <w:rFonts w:ascii="仿宋_GB2312" w:eastAsia="仿宋_GB2312" w:hAnsi="仿宋_GB2312" w:cs="仿宋_GB2312" w:hint="eastAsia"/>
          <w:bCs/>
          <w:sz w:val="32"/>
          <w:szCs w:val="32"/>
        </w:rPr>
        <w:t>After research, it has been found that other provinces currently do not have specific standards for the construction of the physical model of the smart city perception system. The formulation of this standard fills a gap in this field. It combines the characteristics of the Guangdong-Hong Kong-Macao Greater Bay Area in its technical content, providing a comprehensive, systematic, and locally distinctive technical specification for the construction project of the physical model of the smart city perception system. This standard also offers certain reference value for lightning protection work in similar projects in other regions.</w:t>
      </w:r>
    </w:p>
    <w:p w14:paraId="2B6FEDFA" w14:textId="77777777" w:rsidR="00FA61B3" w:rsidRDefault="00000000">
      <w:pPr>
        <w:spacing w:line="560" w:lineRule="exact"/>
        <w:ind w:firstLineChars="200" w:firstLine="640"/>
        <w:jc w:val="left"/>
        <w:rPr>
          <w:rFonts w:ascii="楷体_GB2312" w:eastAsia="楷体_GB2312" w:hAnsi="楷体_GB2312" w:cs="楷体_GB2312"/>
          <w:bCs/>
          <w:sz w:val="32"/>
          <w:szCs w:val="32"/>
        </w:rPr>
      </w:pPr>
      <w:r>
        <w:rPr>
          <w:rFonts w:ascii="楷体_GB2312" w:eastAsia="楷体_GB2312" w:hAnsi="楷体_GB2312" w:cs="楷体_GB2312" w:hint="eastAsia"/>
          <w:bCs/>
          <w:sz w:val="32"/>
          <w:szCs w:val="32"/>
        </w:rPr>
        <w:t>(5) Adoption of Standards</w:t>
      </w:r>
    </w:p>
    <w:p w14:paraId="7420A695" w14:textId="77777777" w:rsidR="00FA61B3" w:rsidRDefault="00000000">
      <w:pPr>
        <w:spacing w:line="560" w:lineRule="exact"/>
        <w:ind w:firstLineChars="200" w:firstLine="640"/>
        <w:jc w:val="left"/>
        <w:rPr>
          <w:rFonts w:ascii="黑体" w:eastAsia="黑体" w:hAnsi="黑体" w:cs="黑体"/>
          <w:bCs/>
          <w:kern w:val="0"/>
          <w:sz w:val="32"/>
          <w:szCs w:val="32"/>
        </w:rPr>
      </w:pPr>
      <w:r>
        <w:rPr>
          <w:rFonts w:ascii="仿宋_GB2312" w:eastAsia="仿宋_GB2312" w:hAnsi="仿宋_GB2312" w:cs="仿宋_GB2312" w:hint="eastAsia"/>
          <w:bCs/>
          <w:sz w:val="32"/>
          <w:szCs w:val="32"/>
        </w:rPr>
        <w:t xml:space="preserve">In the process of formulating this standard, advanced technologies and concepts from relevant domestic and international standards were fully referenced. However, the standard does not directly adopt or cite international or foreign standards. Instead, based on the actual conditions of the physical model construction of the smart city perception system in the Guangdong-Hong Kong-Macao Greater Bay Area, independent innovation and optimization were carried out to </w:t>
      </w:r>
      <w:r>
        <w:rPr>
          <w:rFonts w:ascii="仿宋_GB2312" w:eastAsia="仿宋_GB2312" w:hAnsi="仿宋_GB2312" w:cs="仿宋_GB2312" w:hint="eastAsia"/>
          <w:bCs/>
          <w:sz w:val="32"/>
          <w:szCs w:val="32"/>
        </w:rPr>
        <w:lastRenderedPageBreak/>
        <w:t>ensure that the content of the standard meets local practical needs, thereby enhancing its relevance and applicability.</w:t>
      </w:r>
    </w:p>
    <w:p w14:paraId="6218684F" w14:textId="77777777" w:rsidR="00FA61B3" w:rsidRDefault="00000000">
      <w:pPr>
        <w:adjustRightInd w:val="0"/>
        <w:spacing w:line="560" w:lineRule="exact"/>
        <w:ind w:firstLineChars="200" w:firstLine="640"/>
        <w:outlineLvl w:val="0"/>
        <w:rPr>
          <w:rFonts w:ascii="黑体" w:eastAsia="黑体" w:hAnsi="黑体" w:cs="黑体"/>
          <w:bCs/>
          <w:sz w:val="32"/>
          <w:szCs w:val="32"/>
        </w:rPr>
      </w:pPr>
      <w:r>
        <w:rPr>
          <w:rFonts w:ascii="黑体" w:eastAsia="黑体" w:hAnsi="黑体" w:cs="黑体" w:hint="eastAsia"/>
          <w:bCs/>
          <w:sz w:val="32"/>
          <w:szCs w:val="32"/>
        </w:rPr>
        <w:t>9. The situation involving patents in the standards</w:t>
      </w:r>
    </w:p>
    <w:p w14:paraId="390B9C74" w14:textId="77777777" w:rsidR="00FA61B3" w:rsidRDefault="00000000">
      <w:pPr>
        <w:adjustRightInd w:val="0"/>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The standard does not address patents.</w:t>
      </w:r>
    </w:p>
    <w:p w14:paraId="231FC9C0" w14:textId="77777777" w:rsidR="00FA61B3" w:rsidRDefault="00000000">
      <w:pPr>
        <w:adjustRightInd w:val="0"/>
        <w:spacing w:line="560" w:lineRule="exact"/>
        <w:ind w:firstLineChars="200" w:firstLine="640"/>
        <w:outlineLvl w:val="0"/>
        <w:rPr>
          <w:rFonts w:ascii="黑体" w:eastAsia="黑体" w:hAnsi="黑体" w:cs="黑体"/>
          <w:bCs/>
          <w:sz w:val="32"/>
          <w:szCs w:val="32"/>
        </w:rPr>
      </w:pPr>
      <w:r>
        <w:rPr>
          <w:rFonts w:ascii="黑体" w:eastAsia="黑体" w:hAnsi="黑体" w:cs="黑体" w:hint="eastAsia"/>
          <w:bCs/>
          <w:sz w:val="32"/>
          <w:szCs w:val="32"/>
        </w:rPr>
        <w:t>10. Expected Economic Benefits</w:t>
      </w:r>
    </w:p>
    <w:p w14:paraId="3F888BCD" w14:textId="77777777" w:rsidR="00FA61B3" w:rsidRDefault="00000000">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 xml:space="preserve">In terms of promotion and application, several typical cities and regions will be selected for demonstration and market promotion. Firstly, </w:t>
      </w:r>
      <w:proofErr w:type="gramStart"/>
      <w:r>
        <w:rPr>
          <w:rFonts w:ascii="仿宋_GB2312" w:eastAsia="仿宋_GB2312" w:hAnsi="仿宋_GB2312" w:cs="仿宋_GB2312" w:hint="eastAsia"/>
          <w:bCs/>
          <w:sz w:val="32"/>
          <w:szCs w:val="32"/>
        </w:rPr>
        <w:t>a number of</w:t>
      </w:r>
      <w:proofErr w:type="gramEnd"/>
      <w:r>
        <w:rPr>
          <w:rFonts w:ascii="仿宋_GB2312" w:eastAsia="仿宋_GB2312" w:hAnsi="仿宋_GB2312" w:cs="仿宋_GB2312" w:hint="eastAsia"/>
          <w:bCs/>
          <w:sz w:val="32"/>
          <w:szCs w:val="32"/>
        </w:rPr>
        <w:t xml:space="preserve"> cities will be chosen to establish demonstration projects based on urban sensing business scenarios by constructing urban sensing system platforms, thereby validating the implementation of this standard. Secondly, the standard will be promoted in different types of cities to facilitate its application across various urban scenarios, achieving multi-departmental business collaboration and integrated scheduling and coordination in urban sensing.</w:t>
      </w:r>
    </w:p>
    <w:p w14:paraId="638BF619" w14:textId="77777777" w:rsidR="00FA61B3" w:rsidRDefault="00000000">
      <w:pPr>
        <w:adjustRightInd w:val="0"/>
        <w:spacing w:line="560" w:lineRule="exact"/>
        <w:ind w:firstLineChars="200" w:firstLine="640"/>
        <w:outlineLvl w:val="0"/>
        <w:rPr>
          <w:rFonts w:ascii="黑体" w:eastAsia="黑体" w:hAnsi="黑体" w:cs="黑体"/>
          <w:bCs/>
          <w:sz w:val="32"/>
          <w:szCs w:val="32"/>
        </w:rPr>
      </w:pPr>
      <w:r>
        <w:rPr>
          <w:rFonts w:ascii="黑体" w:eastAsia="黑体" w:hAnsi="黑体" w:cs="黑体" w:hint="eastAsia"/>
          <w:bCs/>
          <w:sz w:val="32"/>
          <w:szCs w:val="32"/>
        </w:rPr>
        <w:t>11. Other matters that should be explained</w:t>
      </w:r>
    </w:p>
    <w:p w14:paraId="2906B402" w14:textId="77777777" w:rsidR="00FA61B3" w:rsidRDefault="00000000">
      <w:pPr>
        <w:adjustRightInd w:val="0"/>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None.</w:t>
      </w:r>
    </w:p>
    <w:p w14:paraId="72A7B4A5" w14:textId="77777777" w:rsidR="00FA61B3" w:rsidRDefault="00FA61B3">
      <w:pPr>
        <w:adjustRightInd w:val="0"/>
        <w:spacing w:line="360" w:lineRule="auto"/>
        <w:ind w:firstLineChars="200" w:firstLine="480"/>
        <w:rPr>
          <w:rFonts w:ascii="Times New Roman" w:eastAsia="宋体" w:hAnsi="Times New Roman" w:cs="Times New Roman"/>
          <w:bCs/>
          <w:sz w:val="24"/>
        </w:rPr>
      </w:pPr>
    </w:p>
    <w:p w14:paraId="3326BECD" w14:textId="77777777" w:rsidR="00FA61B3" w:rsidRDefault="00FA61B3">
      <w:pPr>
        <w:adjustRightInd w:val="0"/>
        <w:spacing w:line="360" w:lineRule="auto"/>
        <w:ind w:firstLineChars="200" w:firstLine="480"/>
        <w:rPr>
          <w:rFonts w:ascii="Times New Roman" w:eastAsia="宋体" w:hAnsi="Times New Roman" w:cs="Times New Roman"/>
          <w:bCs/>
          <w:sz w:val="24"/>
        </w:rPr>
      </w:pPr>
    </w:p>
    <w:p w14:paraId="06DBAD31" w14:textId="77777777" w:rsidR="00FA61B3" w:rsidRDefault="00000000">
      <w:pPr>
        <w:spacing w:line="560" w:lineRule="exact"/>
        <w:ind w:firstLineChars="400" w:firstLine="128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"Construction Requirements for Multi-Level Linked Command Platforms in Smart Cities"</w:t>
      </w:r>
    </w:p>
    <w:p w14:paraId="4E345924" w14:textId="77777777" w:rsidR="00FA61B3" w:rsidRDefault="00000000">
      <w:pPr>
        <w:spacing w:line="560" w:lineRule="exact"/>
        <w:ind w:firstLineChars="1500" w:firstLine="480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Standard Writing Group</w:t>
      </w:r>
    </w:p>
    <w:p w14:paraId="4010FE59" w14:textId="77777777" w:rsidR="00FA61B3" w:rsidRDefault="00000000">
      <w:pPr>
        <w:spacing w:line="560" w:lineRule="exact"/>
        <w:ind w:firstLineChars="2000" w:firstLine="6400"/>
        <w:rPr>
          <w:rFonts w:ascii="Times New Roman" w:hAnsi="Times New Roman" w:cs="Times New Roman"/>
          <w:bCs/>
          <w:sz w:val="24"/>
        </w:rPr>
      </w:pPr>
      <w:r>
        <w:rPr>
          <w:rFonts w:ascii="仿宋_GB2312" w:eastAsia="仿宋_GB2312" w:hAnsi="仿宋_GB2312" w:cs="仿宋_GB2312" w:hint="eastAsia"/>
          <w:bCs/>
          <w:sz w:val="32"/>
          <w:szCs w:val="32"/>
        </w:rPr>
        <w:t>June 2025</w:t>
      </w:r>
    </w:p>
    <w:p w14:paraId="5963F42B" w14:textId="77777777" w:rsidR="00FA61B3" w:rsidRDefault="00FA61B3">
      <w:pPr>
        <w:spacing w:line="560" w:lineRule="exact"/>
        <w:ind w:firstLineChars="200" w:firstLine="640"/>
        <w:rPr>
          <w:rFonts w:ascii="仿宋_GB2312" w:eastAsia="仿宋_GB2312" w:hAnsi="仿宋_GB2312" w:cs="仿宋_GB2312"/>
          <w:bCs/>
          <w:sz w:val="32"/>
          <w:szCs w:val="32"/>
        </w:rPr>
      </w:pPr>
    </w:p>
    <w:p w14:paraId="2AC24FA1" w14:textId="77777777" w:rsidR="00FA61B3" w:rsidRDefault="00FA61B3">
      <w:pPr>
        <w:spacing w:line="560" w:lineRule="exact"/>
        <w:ind w:firstLineChars="200" w:firstLine="640"/>
        <w:rPr>
          <w:rFonts w:ascii="仿宋_GB2312" w:eastAsia="仿宋_GB2312" w:hAnsi="仿宋_GB2312" w:cs="仿宋_GB2312"/>
          <w:bCs/>
          <w:sz w:val="32"/>
          <w:szCs w:val="32"/>
        </w:rPr>
      </w:pPr>
    </w:p>
    <w:sectPr w:rsidR="00FA61B3">
      <w:headerReference w:type="default" r:id="rId9"/>
      <w:footerReference w:type="default" r:id="rId10"/>
      <w:pgSz w:w="11906" w:h="16838"/>
      <w:pgMar w:top="1440" w:right="1077" w:bottom="851" w:left="1077"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380A7" w14:textId="77777777" w:rsidR="00DE3207" w:rsidRDefault="00DE3207">
      <w:r>
        <w:separator/>
      </w:r>
    </w:p>
  </w:endnote>
  <w:endnote w:type="continuationSeparator" w:id="0">
    <w:p w14:paraId="751ADD10" w14:textId="77777777" w:rsidR="00DE3207" w:rsidRDefault="00DE3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1" w:usb1="080E0000" w:usb2="00000000" w:usb3="00000000" w:csb0="00040000" w:csb1="00000000"/>
  </w:font>
  <w:font w:name="仿宋_GB2312">
    <w:altName w:val="微软雅黑"/>
    <w:charset w:val="86"/>
    <w:family w:val="auto"/>
    <w:pitch w:val="default"/>
    <w:sig w:usb0="00000001" w:usb1="080E0000" w:usb2="00000000" w:usb3="00000000" w:csb0="00040000" w:csb1="00000000"/>
  </w:font>
  <w:font w:name="楷体_GB2312">
    <w:altName w:val="微软雅黑"/>
    <w:charset w:val="86"/>
    <w:family w:val="auto"/>
    <w:pitch w:val="default"/>
    <w:sig w:usb0="00000001" w:usb1="080E0000" w:usb2="00000000" w:usb3="00000000" w:csb0="00040000" w:csb1="00000000"/>
  </w:font>
  <w:font w:name="方正仿宋简体">
    <w:altName w:val="微软雅黑"/>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A45F" w14:textId="763A25C0" w:rsidR="00FA61B3" w:rsidRDefault="00000000">
    <w:pPr>
      <w:pStyle w:val="Footer"/>
      <w:jc w:val="center"/>
    </w:pPr>
    <w:r>
      <w:rPr>
        <w:b/>
        <w:sz w:val="24"/>
        <w:szCs w:val="24"/>
      </w:rPr>
      <w:fldChar w:fldCharType="begin"/>
    </w:r>
    <w:r>
      <w:rPr>
        <w:b/>
        <w:sz w:val="24"/>
        <w:szCs w:val="24"/>
      </w:rPr>
      <w:fldChar w:fldCharType="separate"/>
    </w:r>
    <w:r>
      <w:rPr>
        <w:b/>
      </w:rPr>
      <w:t>7/7</w:t>
    </w:r>
    <w:r>
      <w:rPr>
        <w:b/>
        <w:sz w:val="24"/>
        <w:szCs w:val="24"/>
      </w:rPr>
      <w:fldChar w:fldCharType="end"/>
    </w:r>
    <w:r>
      <w:rPr>
        <w:b/>
        <w:sz w:val="24"/>
        <w:szCs w:val="24"/>
      </w:rPr>
      <w:fldChar w:fldCharType="begin"/>
    </w:r>
    <w:r>
      <w:rPr>
        <w:b/>
      </w:rPr>
      <w:instrText>NUMPAGES</w:instrText>
    </w:r>
    <w:r>
      <w:rPr>
        <w:b/>
        <w:sz w:val="24"/>
        <w:szCs w:val="24"/>
      </w:rPr>
      <w:fldChar w:fldCharType="separate"/>
    </w:r>
    <w:r w:rsidR="00A477FA">
      <w:rPr>
        <w:b/>
        <w:noProof/>
      </w:rPr>
      <w:t>2</w:t>
    </w:r>
    <w:r>
      <w:rPr>
        <w:b/>
        <w:sz w:val="24"/>
        <w:szCs w:val="24"/>
      </w:rPr>
      <w:fldChar w:fldCharType="end"/>
    </w:r>
  </w:p>
  <w:p w14:paraId="16985725" w14:textId="77777777" w:rsidR="00FA61B3" w:rsidRDefault="00FA61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73648" w14:textId="77777777" w:rsidR="00DE3207" w:rsidRDefault="00DE3207">
      <w:r>
        <w:separator/>
      </w:r>
    </w:p>
  </w:footnote>
  <w:footnote w:type="continuationSeparator" w:id="0">
    <w:p w14:paraId="44ED40EA" w14:textId="77777777" w:rsidR="00DE3207" w:rsidRDefault="00DE3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87853" w14:textId="77777777" w:rsidR="00FA61B3" w:rsidRDefault="00FA61B3">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C91163"/>
    <w:multiLevelType w:val="multilevel"/>
    <w:tmpl w:val="1FC91163"/>
    <w:lvl w:ilvl="0">
      <w:start w:val="1"/>
      <w:numFmt w:val="decimal"/>
      <w:pStyle w:val="a"/>
      <w:suff w:val="nothing"/>
      <w:lvlText w:val="%1"/>
      <w:lvlJc w:val="left"/>
      <w:pPr>
        <w:ind w:left="0" w:firstLine="0"/>
      </w:pPr>
      <w:rPr>
        <w:rFonts w:ascii="黑体" w:eastAsia="黑体" w:hAnsi="Times New Roman" w:hint="eastAsia"/>
        <w:b w:val="0"/>
        <w:i w:val="0"/>
        <w:sz w:val="21"/>
        <w:szCs w:val="21"/>
      </w:rPr>
    </w:lvl>
    <w:lvl w:ilvl="1">
      <w:start w:val="1"/>
      <w:numFmt w:val="decimal"/>
      <w:pStyle w:val="a0"/>
      <w:suff w:val="nothing"/>
      <w:lvlText w:val="%1.%2"/>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1"/>
      <w:suff w:val="nothing"/>
      <w:lvlText w:val="%1.%2.%3"/>
      <w:lvlJc w:val="left"/>
      <w:pPr>
        <w:ind w:left="567" w:firstLine="0"/>
      </w:pPr>
      <w:rPr>
        <w:rFonts w:ascii="黑体" w:eastAsia="黑体" w:hAnsi="Times New Roman" w:hint="eastAsia"/>
        <w:b w:val="0"/>
        <w:i w:val="0"/>
        <w:sz w:val="21"/>
      </w:rPr>
    </w:lvl>
    <w:lvl w:ilvl="3">
      <w:start w:val="1"/>
      <w:numFmt w:val="decimal"/>
      <w:suff w:val="nothing"/>
      <w:lvlText w:val="%1.%2.%3.%4"/>
      <w:lvlJc w:val="left"/>
      <w:pPr>
        <w:ind w:left="0" w:firstLine="0"/>
      </w:pPr>
      <w:rPr>
        <w:rFonts w:ascii="黑体" w:eastAsia="黑体" w:hAnsi="Times New Roman" w:hint="eastAsia"/>
        <w:b w:val="0"/>
        <w:i w:val="0"/>
        <w:sz w:val="21"/>
      </w:rPr>
    </w:lvl>
    <w:lvl w:ilvl="4">
      <w:start w:val="1"/>
      <w:numFmt w:val="decimal"/>
      <w:pStyle w:val="a2"/>
      <w:suff w:val="nothing"/>
      <w:lvlText w:val="2.2.5.3.%5"/>
      <w:lvlJc w:val="left"/>
      <w:pPr>
        <w:ind w:left="426" w:firstLine="0"/>
      </w:pPr>
      <w:rPr>
        <w:rFonts w:ascii="黑体" w:eastAsia="黑体" w:hAnsi="Times New Roman" w:hint="eastAsia"/>
        <w:b w:val="0"/>
        <w:i w:val="0"/>
        <w:sz w:val="21"/>
      </w:rPr>
    </w:lvl>
    <w:lvl w:ilvl="5">
      <w:start w:val="1"/>
      <w:numFmt w:val="decimal"/>
      <w:pStyle w:val="a3"/>
      <w:suff w:val="nothing"/>
      <w:lvlText w:val="%1.%2.%3.%4.%5.%6"/>
      <w:lvlJc w:val="left"/>
      <w:pPr>
        <w:ind w:left="0" w:firstLine="0"/>
      </w:pPr>
      <w:rPr>
        <w:rFonts w:ascii="黑体" w:eastAsia="黑体" w:hAnsi="Times New Roman" w:hint="eastAsia"/>
        <w:b w:val="0"/>
        <w:i w:val="0"/>
        <w:sz w:val="21"/>
      </w:rPr>
    </w:lvl>
    <w:lvl w:ilvl="6">
      <w:start w:val="1"/>
      <w:numFmt w:val="decimal"/>
      <w:suff w:val="nothing"/>
      <w:lvlText w:val="%1%2.%3.%4.%5.%6.%7"/>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22827D5B"/>
    <w:multiLevelType w:val="multilevel"/>
    <w:tmpl w:val="22827D5B"/>
    <w:lvl w:ilvl="0">
      <w:start w:val="1"/>
      <w:numFmt w:val="none"/>
      <w:pStyle w:val="a4"/>
      <w:suff w:val="nothing"/>
      <w:lvlText w:val="%1Note:"/>
      <w:lvlJc w:val="left"/>
      <w:pPr>
        <w:ind w:left="363"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 w15:restartNumberingAfterBreak="0">
    <w:nsid w:val="2A8F7113"/>
    <w:multiLevelType w:val="multilevel"/>
    <w:tmpl w:val="2A8F7113"/>
    <w:lvl w:ilvl="0">
      <w:start w:val="1"/>
      <w:numFmt w:val="upperLetter"/>
      <w:pStyle w:val="a5"/>
      <w:suff w:val="space"/>
      <w:lvlText w:val="%1"/>
      <w:lvlJc w:val="left"/>
      <w:pPr>
        <w:ind w:left="623" w:hanging="425"/>
      </w:pPr>
      <w:rPr>
        <w:rFonts w:hint="eastAsia"/>
      </w:rPr>
    </w:lvl>
    <w:lvl w:ilvl="1">
      <w:start w:val="1"/>
      <w:numFmt w:val="decimal"/>
      <w:pStyle w:val="a6"/>
      <w:suff w:val="nothing"/>
      <w:lvlText w:val="Figure%1.%2"/>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num w:numId="1" w16cid:durableId="239750273">
    <w:abstractNumId w:val="1"/>
  </w:num>
  <w:num w:numId="2" w16cid:durableId="108546787">
    <w:abstractNumId w:val="2"/>
  </w:num>
  <w:num w:numId="3" w16cid:durableId="7972637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6FD8"/>
    <w:rsid w:val="00000200"/>
    <w:rsid w:val="0000483C"/>
    <w:rsid w:val="00004BB1"/>
    <w:rsid w:val="000066A8"/>
    <w:rsid w:val="00011051"/>
    <w:rsid w:val="00015133"/>
    <w:rsid w:val="0002495F"/>
    <w:rsid w:val="00024EB9"/>
    <w:rsid w:val="00025E89"/>
    <w:rsid w:val="00025ED3"/>
    <w:rsid w:val="00026B99"/>
    <w:rsid w:val="00030AC6"/>
    <w:rsid w:val="00034F24"/>
    <w:rsid w:val="00037B1F"/>
    <w:rsid w:val="00040775"/>
    <w:rsid w:val="0004126E"/>
    <w:rsid w:val="0004378D"/>
    <w:rsid w:val="000455B3"/>
    <w:rsid w:val="0004641F"/>
    <w:rsid w:val="000575E7"/>
    <w:rsid w:val="00060EFD"/>
    <w:rsid w:val="00064A42"/>
    <w:rsid w:val="00064AFC"/>
    <w:rsid w:val="0006647B"/>
    <w:rsid w:val="00067C1C"/>
    <w:rsid w:val="00072D10"/>
    <w:rsid w:val="0007341F"/>
    <w:rsid w:val="0007686B"/>
    <w:rsid w:val="000801A5"/>
    <w:rsid w:val="000820A7"/>
    <w:rsid w:val="00083308"/>
    <w:rsid w:val="0008503D"/>
    <w:rsid w:val="00085B39"/>
    <w:rsid w:val="00087F76"/>
    <w:rsid w:val="000946A7"/>
    <w:rsid w:val="000947A1"/>
    <w:rsid w:val="000A0C68"/>
    <w:rsid w:val="000A24B5"/>
    <w:rsid w:val="000A2BCB"/>
    <w:rsid w:val="000A2ED9"/>
    <w:rsid w:val="000A64F2"/>
    <w:rsid w:val="000B1AC9"/>
    <w:rsid w:val="000B25F9"/>
    <w:rsid w:val="000B2634"/>
    <w:rsid w:val="000B615E"/>
    <w:rsid w:val="000C070A"/>
    <w:rsid w:val="000C5EBD"/>
    <w:rsid w:val="000C618E"/>
    <w:rsid w:val="000D104D"/>
    <w:rsid w:val="000D341C"/>
    <w:rsid w:val="000D39D4"/>
    <w:rsid w:val="000D3DC7"/>
    <w:rsid w:val="000D53B5"/>
    <w:rsid w:val="000E27DC"/>
    <w:rsid w:val="000E28A7"/>
    <w:rsid w:val="000E6CBE"/>
    <w:rsid w:val="000E7B0F"/>
    <w:rsid w:val="000F3047"/>
    <w:rsid w:val="000F3F98"/>
    <w:rsid w:val="000F42DA"/>
    <w:rsid w:val="000F47C1"/>
    <w:rsid w:val="0010616E"/>
    <w:rsid w:val="0010618C"/>
    <w:rsid w:val="001165B2"/>
    <w:rsid w:val="00116D50"/>
    <w:rsid w:val="00120FF3"/>
    <w:rsid w:val="001235F9"/>
    <w:rsid w:val="001236A0"/>
    <w:rsid w:val="00123D8E"/>
    <w:rsid w:val="00124698"/>
    <w:rsid w:val="00130DE9"/>
    <w:rsid w:val="00132108"/>
    <w:rsid w:val="0013368C"/>
    <w:rsid w:val="00133866"/>
    <w:rsid w:val="00135F0A"/>
    <w:rsid w:val="00136AC8"/>
    <w:rsid w:val="00141370"/>
    <w:rsid w:val="001422AC"/>
    <w:rsid w:val="00142B8F"/>
    <w:rsid w:val="00143D0F"/>
    <w:rsid w:val="001443F2"/>
    <w:rsid w:val="00147D67"/>
    <w:rsid w:val="001508D5"/>
    <w:rsid w:val="00151276"/>
    <w:rsid w:val="00152BA4"/>
    <w:rsid w:val="001628E6"/>
    <w:rsid w:val="001648DC"/>
    <w:rsid w:val="00164F0C"/>
    <w:rsid w:val="0017009C"/>
    <w:rsid w:val="00172BA7"/>
    <w:rsid w:val="0017564D"/>
    <w:rsid w:val="0018075E"/>
    <w:rsid w:val="001822BC"/>
    <w:rsid w:val="00183173"/>
    <w:rsid w:val="00186AC5"/>
    <w:rsid w:val="00186F7A"/>
    <w:rsid w:val="001978D8"/>
    <w:rsid w:val="001A02E9"/>
    <w:rsid w:val="001A3BD4"/>
    <w:rsid w:val="001A3CB5"/>
    <w:rsid w:val="001A5AD0"/>
    <w:rsid w:val="001A6160"/>
    <w:rsid w:val="001A77D7"/>
    <w:rsid w:val="001B0FDD"/>
    <w:rsid w:val="001B1E43"/>
    <w:rsid w:val="001B27BF"/>
    <w:rsid w:val="001B2A29"/>
    <w:rsid w:val="001B2E56"/>
    <w:rsid w:val="001B3583"/>
    <w:rsid w:val="001B6B6C"/>
    <w:rsid w:val="001C187B"/>
    <w:rsid w:val="001C38C5"/>
    <w:rsid w:val="001C39D1"/>
    <w:rsid w:val="001C3B5A"/>
    <w:rsid w:val="001C4059"/>
    <w:rsid w:val="001C4383"/>
    <w:rsid w:val="001C6F1C"/>
    <w:rsid w:val="001D6BEF"/>
    <w:rsid w:val="001D742B"/>
    <w:rsid w:val="001E0642"/>
    <w:rsid w:val="001E1253"/>
    <w:rsid w:val="001E5037"/>
    <w:rsid w:val="001E50CA"/>
    <w:rsid w:val="001E5F01"/>
    <w:rsid w:val="001E6E3F"/>
    <w:rsid w:val="001E7CA9"/>
    <w:rsid w:val="001F5062"/>
    <w:rsid w:val="00201BA1"/>
    <w:rsid w:val="00202927"/>
    <w:rsid w:val="00212FA8"/>
    <w:rsid w:val="00214789"/>
    <w:rsid w:val="002222B7"/>
    <w:rsid w:val="002320F1"/>
    <w:rsid w:val="002348F8"/>
    <w:rsid w:val="00240ED7"/>
    <w:rsid w:val="002414AD"/>
    <w:rsid w:val="0024319C"/>
    <w:rsid w:val="00246EA6"/>
    <w:rsid w:val="00253AB1"/>
    <w:rsid w:val="002548D4"/>
    <w:rsid w:val="0025671C"/>
    <w:rsid w:val="00256ABD"/>
    <w:rsid w:val="00257D97"/>
    <w:rsid w:val="00261FB9"/>
    <w:rsid w:val="00261FD9"/>
    <w:rsid w:val="002651FB"/>
    <w:rsid w:val="00272A50"/>
    <w:rsid w:val="002733EB"/>
    <w:rsid w:val="00283493"/>
    <w:rsid w:val="0028490B"/>
    <w:rsid w:val="00285DC6"/>
    <w:rsid w:val="00290834"/>
    <w:rsid w:val="00290D03"/>
    <w:rsid w:val="0029174B"/>
    <w:rsid w:val="00295AFB"/>
    <w:rsid w:val="002A0185"/>
    <w:rsid w:val="002A6A5C"/>
    <w:rsid w:val="002A6C91"/>
    <w:rsid w:val="002A7EFC"/>
    <w:rsid w:val="002B1397"/>
    <w:rsid w:val="002B1950"/>
    <w:rsid w:val="002B62C3"/>
    <w:rsid w:val="002B664A"/>
    <w:rsid w:val="002B7B66"/>
    <w:rsid w:val="002C06A1"/>
    <w:rsid w:val="002C384F"/>
    <w:rsid w:val="002D1142"/>
    <w:rsid w:val="002D2062"/>
    <w:rsid w:val="002E060F"/>
    <w:rsid w:val="002E1490"/>
    <w:rsid w:val="002E2A83"/>
    <w:rsid w:val="002E41C6"/>
    <w:rsid w:val="002F0561"/>
    <w:rsid w:val="002F079F"/>
    <w:rsid w:val="002F0B1C"/>
    <w:rsid w:val="00303375"/>
    <w:rsid w:val="00306789"/>
    <w:rsid w:val="003070F1"/>
    <w:rsid w:val="003202D0"/>
    <w:rsid w:val="00325738"/>
    <w:rsid w:val="00326E2C"/>
    <w:rsid w:val="003279E5"/>
    <w:rsid w:val="00327FBC"/>
    <w:rsid w:val="00330864"/>
    <w:rsid w:val="00332FBA"/>
    <w:rsid w:val="003330EB"/>
    <w:rsid w:val="003342E9"/>
    <w:rsid w:val="003376EE"/>
    <w:rsid w:val="00347F25"/>
    <w:rsid w:val="0035145F"/>
    <w:rsid w:val="00352C46"/>
    <w:rsid w:val="00357340"/>
    <w:rsid w:val="00362AA8"/>
    <w:rsid w:val="00366F63"/>
    <w:rsid w:val="00367F1F"/>
    <w:rsid w:val="00370DD1"/>
    <w:rsid w:val="00371A9A"/>
    <w:rsid w:val="003739D4"/>
    <w:rsid w:val="00373AB1"/>
    <w:rsid w:val="0037507C"/>
    <w:rsid w:val="00375FA5"/>
    <w:rsid w:val="003762A5"/>
    <w:rsid w:val="003765DC"/>
    <w:rsid w:val="003818B2"/>
    <w:rsid w:val="003904B8"/>
    <w:rsid w:val="0039261E"/>
    <w:rsid w:val="0039356E"/>
    <w:rsid w:val="00395988"/>
    <w:rsid w:val="00395BA6"/>
    <w:rsid w:val="003975E4"/>
    <w:rsid w:val="003A63C9"/>
    <w:rsid w:val="003B29CB"/>
    <w:rsid w:val="003B2D13"/>
    <w:rsid w:val="003B2F69"/>
    <w:rsid w:val="003B365F"/>
    <w:rsid w:val="003B52B5"/>
    <w:rsid w:val="003C0AA4"/>
    <w:rsid w:val="003C3398"/>
    <w:rsid w:val="003C5628"/>
    <w:rsid w:val="003D11F0"/>
    <w:rsid w:val="003D2A5F"/>
    <w:rsid w:val="003D2D08"/>
    <w:rsid w:val="003D4011"/>
    <w:rsid w:val="003D4214"/>
    <w:rsid w:val="003D57DD"/>
    <w:rsid w:val="003D58AD"/>
    <w:rsid w:val="003E0FF7"/>
    <w:rsid w:val="003E496D"/>
    <w:rsid w:val="003F2C97"/>
    <w:rsid w:val="00400025"/>
    <w:rsid w:val="00401357"/>
    <w:rsid w:val="00406061"/>
    <w:rsid w:val="00411CAE"/>
    <w:rsid w:val="00411E47"/>
    <w:rsid w:val="00412DBA"/>
    <w:rsid w:val="004145FC"/>
    <w:rsid w:val="00416CF5"/>
    <w:rsid w:val="0042094E"/>
    <w:rsid w:val="004211AD"/>
    <w:rsid w:val="004270E1"/>
    <w:rsid w:val="004272AD"/>
    <w:rsid w:val="00431F52"/>
    <w:rsid w:val="00432C4D"/>
    <w:rsid w:val="00432EA0"/>
    <w:rsid w:val="004371DE"/>
    <w:rsid w:val="00445AD7"/>
    <w:rsid w:val="004461FB"/>
    <w:rsid w:val="00446205"/>
    <w:rsid w:val="0044637E"/>
    <w:rsid w:val="004501A4"/>
    <w:rsid w:val="00450924"/>
    <w:rsid w:val="00452FA5"/>
    <w:rsid w:val="004556C9"/>
    <w:rsid w:val="00457054"/>
    <w:rsid w:val="00457276"/>
    <w:rsid w:val="004602FF"/>
    <w:rsid w:val="004611F2"/>
    <w:rsid w:val="00462BF4"/>
    <w:rsid w:val="00462CF7"/>
    <w:rsid w:val="00474956"/>
    <w:rsid w:val="0048048C"/>
    <w:rsid w:val="004814E2"/>
    <w:rsid w:val="004865A0"/>
    <w:rsid w:val="00492BEB"/>
    <w:rsid w:val="00494BFF"/>
    <w:rsid w:val="004955DD"/>
    <w:rsid w:val="0049636F"/>
    <w:rsid w:val="004A2789"/>
    <w:rsid w:val="004A3751"/>
    <w:rsid w:val="004B44B4"/>
    <w:rsid w:val="004B4FCA"/>
    <w:rsid w:val="004B7362"/>
    <w:rsid w:val="004C5288"/>
    <w:rsid w:val="004C5E9B"/>
    <w:rsid w:val="004C7803"/>
    <w:rsid w:val="004D5F9A"/>
    <w:rsid w:val="004E020C"/>
    <w:rsid w:val="004E0963"/>
    <w:rsid w:val="004E1504"/>
    <w:rsid w:val="004E2EE3"/>
    <w:rsid w:val="004E6393"/>
    <w:rsid w:val="004F21AE"/>
    <w:rsid w:val="004F5053"/>
    <w:rsid w:val="005006FB"/>
    <w:rsid w:val="005038A4"/>
    <w:rsid w:val="00504A60"/>
    <w:rsid w:val="00506DC1"/>
    <w:rsid w:val="005106CF"/>
    <w:rsid w:val="00511A43"/>
    <w:rsid w:val="005203DA"/>
    <w:rsid w:val="00521AA9"/>
    <w:rsid w:val="005224C4"/>
    <w:rsid w:val="005306BA"/>
    <w:rsid w:val="00532083"/>
    <w:rsid w:val="00534795"/>
    <w:rsid w:val="00536423"/>
    <w:rsid w:val="00541EDE"/>
    <w:rsid w:val="005464D1"/>
    <w:rsid w:val="005467A3"/>
    <w:rsid w:val="00551BA4"/>
    <w:rsid w:val="00563DC6"/>
    <w:rsid w:val="005703D7"/>
    <w:rsid w:val="00571515"/>
    <w:rsid w:val="00573DC9"/>
    <w:rsid w:val="00573E1A"/>
    <w:rsid w:val="00581668"/>
    <w:rsid w:val="00587CF9"/>
    <w:rsid w:val="00592E86"/>
    <w:rsid w:val="00593803"/>
    <w:rsid w:val="00597021"/>
    <w:rsid w:val="005A5374"/>
    <w:rsid w:val="005A5E7D"/>
    <w:rsid w:val="005B463E"/>
    <w:rsid w:val="005B5F80"/>
    <w:rsid w:val="005B6CE5"/>
    <w:rsid w:val="005B7E83"/>
    <w:rsid w:val="005C00A6"/>
    <w:rsid w:val="005C0486"/>
    <w:rsid w:val="005C06DF"/>
    <w:rsid w:val="005C7A88"/>
    <w:rsid w:val="005D0838"/>
    <w:rsid w:val="005D2740"/>
    <w:rsid w:val="005D6EF7"/>
    <w:rsid w:val="005E4A7E"/>
    <w:rsid w:val="005E775E"/>
    <w:rsid w:val="005E7B95"/>
    <w:rsid w:val="005F07F4"/>
    <w:rsid w:val="005F2EDE"/>
    <w:rsid w:val="005F7688"/>
    <w:rsid w:val="00602CAE"/>
    <w:rsid w:val="006055AF"/>
    <w:rsid w:val="006065D0"/>
    <w:rsid w:val="00606895"/>
    <w:rsid w:val="00612358"/>
    <w:rsid w:val="00615371"/>
    <w:rsid w:val="00623EC6"/>
    <w:rsid w:val="00625D0A"/>
    <w:rsid w:val="00630C70"/>
    <w:rsid w:val="006323D5"/>
    <w:rsid w:val="00632E80"/>
    <w:rsid w:val="00634BBA"/>
    <w:rsid w:val="00636BC6"/>
    <w:rsid w:val="006370BB"/>
    <w:rsid w:val="00637E37"/>
    <w:rsid w:val="00642DCD"/>
    <w:rsid w:val="00643B04"/>
    <w:rsid w:val="00646BB3"/>
    <w:rsid w:val="00646C28"/>
    <w:rsid w:val="006508A5"/>
    <w:rsid w:val="00656727"/>
    <w:rsid w:val="00657BAB"/>
    <w:rsid w:val="006634F3"/>
    <w:rsid w:val="00665804"/>
    <w:rsid w:val="00672341"/>
    <w:rsid w:val="00674F80"/>
    <w:rsid w:val="0068245B"/>
    <w:rsid w:val="006828C9"/>
    <w:rsid w:val="006830E5"/>
    <w:rsid w:val="00684D10"/>
    <w:rsid w:val="006874F4"/>
    <w:rsid w:val="0068771C"/>
    <w:rsid w:val="00691D9D"/>
    <w:rsid w:val="00691DF5"/>
    <w:rsid w:val="006A300C"/>
    <w:rsid w:val="006A4FD7"/>
    <w:rsid w:val="006B3A9F"/>
    <w:rsid w:val="006B7C2A"/>
    <w:rsid w:val="006C69EC"/>
    <w:rsid w:val="006D2B41"/>
    <w:rsid w:val="006D3A32"/>
    <w:rsid w:val="006D427D"/>
    <w:rsid w:val="006D5544"/>
    <w:rsid w:val="006D6B26"/>
    <w:rsid w:val="006D6C94"/>
    <w:rsid w:val="006D7289"/>
    <w:rsid w:val="006E159A"/>
    <w:rsid w:val="006E2EA8"/>
    <w:rsid w:val="006E3634"/>
    <w:rsid w:val="006E4580"/>
    <w:rsid w:val="006F1F79"/>
    <w:rsid w:val="006F350A"/>
    <w:rsid w:val="006F7156"/>
    <w:rsid w:val="00702337"/>
    <w:rsid w:val="007035FE"/>
    <w:rsid w:val="007046A7"/>
    <w:rsid w:val="00704887"/>
    <w:rsid w:val="007051B5"/>
    <w:rsid w:val="007056D6"/>
    <w:rsid w:val="00715280"/>
    <w:rsid w:val="00715297"/>
    <w:rsid w:val="00715444"/>
    <w:rsid w:val="007230C8"/>
    <w:rsid w:val="0072378B"/>
    <w:rsid w:val="007247E0"/>
    <w:rsid w:val="007247F7"/>
    <w:rsid w:val="00730A13"/>
    <w:rsid w:val="007323EA"/>
    <w:rsid w:val="00733558"/>
    <w:rsid w:val="00734624"/>
    <w:rsid w:val="00734682"/>
    <w:rsid w:val="007364AB"/>
    <w:rsid w:val="0073690B"/>
    <w:rsid w:val="007426D7"/>
    <w:rsid w:val="00743464"/>
    <w:rsid w:val="007456E7"/>
    <w:rsid w:val="007471AF"/>
    <w:rsid w:val="007477DA"/>
    <w:rsid w:val="00753D29"/>
    <w:rsid w:val="00754539"/>
    <w:rsid w:val="00756789"/>
    <w:rsid w:val="00760EE0"/>
    <w:rsid w:val="0076654F"/>
    <w:rsid w:val="0078022A"/>
    <w:rsid w:val="00780E1F"/>
    <w:rsid w:val="007818F9"/>
    <w:rsid w:val="00785DB6"/>
    <w:rsid w:val="00790F0B"/>
    <w:rsid w:val="007921AC"/>
    <w:rsid w:val="00794690"/>
    <w:rsid w:val="0079518F"/>
    <w:rsid w:val="00795405"/>
    <w:rsid w:val="00795444"/>
    <w:rsid w:val="0079786B"/>
    <w:rsid w:val="007A22CE"/>
    <w:rsid w:val="007A4FF0"/>
    <w:rsid w:val="007A5950"/>
    <w:rsid w:val="007B22FA"/>
    <w:rsid w:val="007B5131"/>
    <w:rsid w:val="007B6183"/>
    <w:rsid w:val="007B73A3"/>
    <w:rsid w:val="007C06D5"/>
    <w:rsid w:val="007C082F"/>
    <w:rsid w:val="007C19DA"/>
    <w:rsid w:val="007C397C"/>
    <w:rsid w:val="007C54DA"/>
    <w:rsid w:val="007C74C2"/>
    <w:rsid w:val="007D27B6"/>
    <w:rsid w:val="007D49CC"/>
    <w:rsid w:val="007D5C2F"/>
    <w:rsid w:val="007D60B7"/>
    <w:rsid w:val="007D663E"/>
    <w:rsid w:val="007D6C3B"/>
    <w:rsid w:val="007E1811"/>
    <w:rsid w:val="007E1B84"/>
    <w:rsid w:val="007E6B15"/>
    <w:rsid w:val="007F09D3"/>
    <w:rsid w:val="007F7E6A"/>
    <w:rsid w:val="00800885"/>
    <w:rsid w:val="0080151C"/>
    <w:rsid w:val="0080323B"/>
    <w:rsid w:val="008125F1"/>
    <w:rsid w:val="008149DA"/>
    <w:rsid w:val="00815851"/>
    <w:rsid w:val="008173F4"/>
    <w:rsid w:val="00825114"/>
    <w:rsid w:val="00827875"/>
    <w:rsid w:val="00836234"/>
    <w:rsid w:val="00836A3B"/>
    <w:rsid w:val="00837C7C"/>
    <w:rsid w:val="008428B9"/>
    <w:rsid w:val="00843097"/>
    <w:rsid w:val="00843E0E"/>
    <w:rsid w:val="008441D9"/>
    <w:rsid w:val="00845F98"/>
    <w:rsid w:val="00847771"/>
    <w:rsid w:val="0084781E"/>
    <w:rsid w:val="008565F8"/>
    <w:rsid w:val="008618E7"/>
    <w:rsid w:val="00867576"/>
    <w:rsid w:val="008711B0"/>
    <w:rsid w:val="008749DF"/>
    <w:rsid w:val="00876586"/>
    <w:rsid w:val="00892061"/>
    <w:rsid w:val="0089210F"/>
    <w:rsid w:val="00896828"/>
    <w:rsid w:val="00897D78"/>
    <w:rsid w:val="008A0626"/>
    <w:rsid w:val="008A1301"/>
    <w:rsid w:val="008A2CD6"/>
    <w:rsid w:val="008A52EC"/>
    <w:rsid w:val="008A5A2B"/>
    <w:rsid w:val="008B0161"/>
    <w:rsid w:val="008B2BE1"/>
    <w:rsid w:val="008B36C4"/>
    <w:rsid w:val="008C14BC"/>
    <w:rsid w:val="008C32A8"/>
    <w:rsid w:val="008C3F24"/>
    <w:rsid w:val="008C440B"/>
    <w:rsid w:val="008C4D13"/>
    <w:rsid w:val="008C5A1A"/>
    <w:rsid w:val="008C6CB7"/>
    <w:rsid w:val="008C72DC"/>
    <w:rsid w:val="008C7BB7"/>
    <w:rsid w:val="008D0DD7"/>
    <w:rsid w:val="008D1EF8"/>
    <w:rsid w:val="008D2CED"/>
    <w:rsid w:val="008D6CD4"/>
    <w:rsid w:val="008E11EA"/>
    <w:rsid w:val="008E2C42"/>
    <w:rsid w:val="008E35D7"/>
    <w:rsid w:val="008E4883"/>
    <w:rsid w:val="008E4E26"/>
    <w:rsid w:val="008E50DA"/>
    <w:rsid w:val="008E641E"/>
    <w:rsid w:val="008E6D2E"/>
    <w:rsid w:val="008E6E9B"/>
    <w:rsid w:val="008E6F02"/>
    <w:rsid w:val="008E7663"/>
    <w:rsid w:val="008F3A8F"/>
    <w:rsid w:val="008F6A2D"/>
    <w:rsid w:val="008F6BA1"/>
    <w:rsid w:val="008F7173"/>
    <w:rsid w:val="008F71B5"/>
    <w:rsid w:val="008F7E0B"/>
    <w:rsid w:val="00901B2A"/>
    <w:rsid w:val="00903318"/>
    <w:rsid w:val="00904E1D"/>
    <w:rsid w:val="00906020"/>
    <w:rsid w:val="0091283B"/>
    <w:rsid w:val="00912C95"/>
    <w:rsid w:val="0091734B"/>
    <w:rsid w:val="00917812"/>
    <w:rsid w:val="0092745A"/>
    <w:rsid w:val="009351AE"/>
    <w:rsid w:val="0093713A"/>
    <w:rsid w:val="0094090E"/>
    <w:rsid w:val="009433C0"/>
    <w:rsid w:val="009456E9"/>
    <w:rsid w:val="00945EC1"/>
    <w:rsid w:val="00947240"/>
    <w:rsid w:val="009475AE"/>
    <w:rsid w:val="009500B9"/>
    <w:rsid w:val="00950CB9"/>
    <w:rsid w:val="00954457"/>
    <w:rsid w:val="00954EAD"/>
    <w:rsid w:val="00960394"/>
    <w:rsid w:val="00962E30"/>
    <w:rsid w:val="009730AF"/>
    <w:rsid w:val="00973448"/>
    <w:rsid w:val="009747C9"/>
    <w:rsid w:val="00982960"/>
    <w:rsid w:val="009904F9"/>
    <w:rsid w:val="00992D34"/>
    <w:rsid w:val="009978C3"/>
    <w:rsid w:val="009A02CD"/>
    <w:rsid w:val="009A1BBE"/>
    <w:rsid w:val="009A32BD"/>
    <w:rsid w:val="009A6885"/>
    <w:rsid w:val="009B58A7"/>
    <w:rsid w:val="009C0C66"/>
    <w:rsid w:val="009C5A34"/>
    <w:rsid w:val="009C65E1"/>
    <w:rsid w:val="009D1CE0"/>
    <w:rsid w:val="009D639E"/>
    <w:rsid w:val="009E0140"/>
    <w:rsid w:val="009E196D"/>
    <w:rsid w:val="009E2925"/>
    <w:rsid w:val="009E5032"/>
    <w:rsid w:val="009E5CAC"/>
    <w:rsid w:val="009F09EA"/>
    <w:rsid w:val="009F1B5A"/>
    <w:rsid w:val="009F1B9C"/>
    <w:rsid w:val="009F4359"/>
    <w:rsid w:val="00A0752B"/>
    <w:rsid w:val="00A106CA"/>
    <w:rsid w:val="00A14418"/>
    <w:rsid w:val="00A169B5"/>
    <w:rsid w:val="00A171D7"/>
    <w:rsid w:val="00A17397"/>
    <w:rsid w:val="00A22A97"/>
    <w:rsid w:val="00A24363"/>
    <w:rsid w:val="00A27DCD"/>
    <w:rsid w:val="00A333EB"/>
    <w:rsid w:val="00A36436"/>
    <w:rsid w:val="00A37B64"/>
    <w:rsid w:val="00A438F2"/>
    <w:rsid w:val="00A477FA"/>
    <w:rsid w:val="00A47ACB"/>
    <w:rsid w:val="00A524B4"/>
    <w:rsid w:val="00A53BD6"/>
    <w:rsid w:val="00A55DBA"/>
    <w:rsid w:val="00A55DDC"/>
    <w:rsid w:val="00A6604C"/>
    <w:rsid w:val="00A67118"/>
    <w:rsid w:val="00A67D3C"/>
    <w:rsid w:val="00A72227"/>
    <w:rsid w:val="00A73B52"/>
    <w:rsid w:val="00A73BC6"/>
    <w:rsid w:val="00A73C77"/>
    <w:rsid w:val="00A73F08"/>
    <w:rsid w:val="00A759FA"/>
    <w:rsid w:val="00A76422"/>
    <w:rsid w:val="00A808F3"/>
    <w:rsid w:val="00A83360"/>
    <w:rsid w:val="00A83915"/>
    <w:rsid w:val="00A85417"/>
    <w:rsid w:val="00A85FC7"/>
    <w:rsid w:val="00A866FC"/>
    <w:rsid w:val="00A87127"/>
    <w:rsid w:val="00A87186"/>
    <w:rsid w:val="00A871DA"/>
    <w:rsid w:val="00A92590"/>
    <w:rsid w:val="00A92A55"/>
    <w:rsid w:val="00A94304"/>
    <w:rsid w:val="00A946EF"/>
    <w:rsid w:val="00A968B2"/>
    <w:rsid w:val="00A97CE6"/>
    <w:rsid w:val="00AA4BD7"/>
    <w:rsid w:val="00AA6422"/>
    <w:rsid w:val="00AA6DCF"/>
    <w:rsid w:val="00AB0FB1"/>
    <w:rsid w:val="00AB2812"/>
    <w:rsid w:val="00AB5D0F"/>
    <w:rsid w:val="00AC3A24"/>
    <w:rsid w:val="00AC4882"/>
    <w:rsid w:val="00AC5DC5"/>
    <w:rsid w:val="00AD4695"/>
    <w:rsid w:val="00AD4E7C"/>
    <w:rsid w:val="00AD72F0"/>
    <w:rsid w:val="00AE2C9F"/>
    <w:rsid w:val="00AF013F"/>
    <w:rsid w:val="00AF4EA9"/>
    <w:rsid w:val="00AF4FF4"/>
    <w:rsid w:val="00AF7F96"/>
    <w:rsid w:val="00B05AB6"/>
    <w:rsid w:val="00B068D3"/>
    <w:rsid w:val="00B068F3"/>
    <w:rsid w:val="00B0754B"/>
    <w:rsid w:val="00B07CD0"/>
    <w:rsid w:val="00B14BA5"/>
    <w:rsid w:val="00B161B6"/>
    <w:rsid w:val="00B20FFC"/>
    <w:rsid w:val="00B2620A"/>
    <w:rsid w:val="00B300BD"/>
    <w:rsid w:val="00B322F6"/>
    <w:rsid w:val="00B34F92"/>
    <w:rsid w:val="00B35E9D"/>
    <w:rsid w:val="00B367BB"/>
    <w:rsid w:val="00B37376"/>
    <w:rsid w:val="00B43FFD"/>
    <w:rsid w:val="00B50671"/>
    <w:rsid w:val="00B600EA"/>
    <w:rsid w:val="00B65BFB"/>
    <w:rsid w:val="00B70297"/>
    <w:rsid w:val="00B71635"/>
    <w:rsid w:val="00B7465F"/>
    <w:rsid w:val="00B821E1"/>
    <w:rsid w:val="00B82D2C"/>
    <w:rsid w:val="00B83042"/>
    <w:rsid w:val="00B85165"/>
    <w:rsid w:val="00B85742"/>
    <w:rsid w:val="00B8696D"/>
    <w:rsid w:val="00B91C4A"/>
    <w:rsid w:val="00BA1D3E"/>
    <w:rsid w:val="00BA3139"/>
    <w:rsid w:val="00BA526D"/>
    <w:rsid w:val="00BA6EB2"/>
    <w:rsid w:val="00BB0E1E"/>
    <w:rsid w:val="00BB1C8F"/>
    <w:rsid w:val="00BB1F64"/>
    <w:rsid w:val="00BB6C21"/>
    <w:rsid w:val="00BB7C6B"/>
    <w:rsid w:val="00BB7FD4"/>
    <w:rsid w:val="00BC161C"/>
    <w:rsid w:val="00BC3E94"/>
    <w:rsid w:val="00BC581C"/>
    <w:rsid w:val="00BD1305"/>
    <w:rsid w:val="00BD2E88"/>
    <w:rsid w:val="00BD790D"/>
    <w:rsid w:val="00BE3394"/>
    <w:rsid w:val="00BE6504"/>
    <w:rsid w:val="00BE656D"/>
    <w:rsid w:val="00BE7810"/>
    <w:rsid w:val="00BF04E8"/>
    <w:rsid w:val="00BF052A"/>
    <w:rsid w:val="00BF5960"/>
    <w:rsid w:val="00BF616F"/>
    <w:rsid w:val="00C0002D"/>
    <w:rsid w:val="00C0209E"/>
    <w:rsid w:val="00C0276D"/>
    <w:rsid w:val="00C048CB"/>
    <w:rsid w:val="00C04D86"/>
    <w:rsid w:val="00C11550"/>
    <w:rsid w:val="00C14A2F"/>
    <w:rsid w:val="00C14F96"/>
    <w:rsid w:val="00C1550D"/>
    <w:rsid w:val="00C2209B"/>
    <w:rsid w:val="00C23661"/>
    <w:rsid w:val="00C25682"/>
    <w:rsid w:val="00C32DAF"/>
    <w:rsid w:val="00C333E0"/>
    <w:rsid w:val="00C33727"/>
    <w:rsid w:val="00C3720E"/>
    <w:rsid w:val="00C37526"/>
    <w:rsid w:val="00C37B3A"/>
    <w:rsid w:val="00C405AA"/>
    <w:rsid w:val="00C47DA2"/>
    <w:rsid w:val="00C47E6C"/>
    <w:rsid w:val="00C51606"/>
    <w:rsid w:val="00C55835"/>
    <w:rsid w:val="00C60F0F"/>
    <w:rsid w:val="00C63484"/>
    <w:rsid w:val="00C655D0"/>
    <w:rsid w:val="00C65696"/>
    <w:rsid w:val="00C65A90"/>
    <w:rsid w:val="00C70112"/>
    <w:rsid w:val="00C7336C"/>
    <w:rsid w:val="00C73667"/>
    <w:rsid w:val="00C80163"/>
    <w:rsid w:val="00C820D5"/>
    <w:rsid w:val="00C82C66"/>
    <w:rsid w:val="00C83C98"/>
    <w:rsid w:val="00C8456D"/>
    <w:rsid w:val="00C9079C"/>
    <w:rsid w:val="00C91587"/>
    <w:rsid w:val="00C91F50"/>
    <w:rsid w:val="00C9284A"/>
    <w:rsid w:val="00C95668"/>
    <w:rsid w:val="00C97032"/>
    <w:rsid w:val="00CA1FFC"/>
    <w:rsid w:val="00CA2BD8"/>
    <w:rsid w:val="00CA4E79"/>
    <w:rsid w:val="00CA5EE7"/>
    <w:rsid w:val="00CA60D5"/>
    <w:rsid w:val="00CA61A5"/>
    <w:rsid w:val="00CB0B72"/>
    <w:rsid w:val="00CB1D92"/>
    <w:rsid w:val="00CB697D"/>
    <w:rsid w:val="00CB6A25"/>
    <w:rsid w:val="00CB6D97"/>
    <w:rsid w:val="00CB6FD8"/>
    <w:rsid w:val="00CC408F"/>
    <w:rsid w:val="00CC569F"/>
    <w:rsid w:val="00CD0903"/>
    <w:rsid w:val="00CD11C8"/>
    <w:rsid w:val="00CD3A12"/>
    <w:rsid w:val="00CE0735"/>
    <w:rsid w:val="00CE14C9"/>
    <w:rsid w:val="00CE31AD"/>
    <w:rsid w:val="00CE49D8"/>
    <w:rsid w:val="00CE58A8"/>
    <w:rsid w:val="00CE5A7C"/>
    <w:rsid w:val="00CE647A"/>
    <w:rsid w:val="00CF3B4F"/>
    <w:rsid w:val="00CF659A"/>
    <w:rsid w:val="00CF7062"/>
    <w:rsid w:val="00CF7110"/>
    <w:rsid w:val="00D02C2A"/>
    <w:rsid w:val="00D0339F"/>
    <w:rsid w:val="00D04345"/>
    <w:rsid w:val="00D11C12"/>
    <w:rsid w:val="00D12A22"/>
    <w:rsid w:val="00D149E8"/>
    <w:rsid w:val="00D170F0"/>
    <w:rsid w:val="00D171A8"/>
    <w:rsid w:val="00D27D15"/>
    <w:rsid w:val="00D27FC6"/>
    <w:rsid w:val="00D35EBB"/>
    <w:rsid w:val="00D41D76"/>
    <w:rsid w:val="00D44B85"/>
    <w:rsid w:val="00D458A8"/>
    <w:rsid w:val="00D513CC"/>
    <w:rsid w:val="00D51BF4"/>
    <w:rsid w:val="00D52114"/>
    <w:rsid w:val="00D53147"/>
    <w:rsid w:val="00D53B60"/>
    <w:rsid w:val="00D57450"/>
    <w:rsid w:val="00D6089D"/>
    <w:rsid w:val="00D653CE"/>
    <w:rsid w:val="00D7534E"/>
    <w:rsid w:val="00D75BDB"/>
    <w:rsid w:val="00D76378"/>
    <w:rsid w:val="00D766F2"/>
    <w:rsid w:val="00D77975"/>
    <w:rsid w:val="00D80F33"/>
    <w:rsid w:val="00D81FEB"/>
    <w:rsid w:val="00D8763C"/>
    <w:rsid w:val="00D91AAB"/>
    <w:rsid w:val="00D923E9"/>
    <w:rsid w:val="00D924F2"/>
    <w:rsid w:val="00D97F71"/>
    <w:rsid w:val="00DA00B6"/>
    <w:rsid w:val="00DA54B8"/>
    <w:rsid w:val="00DA75F9"/>
    <w:rsid w:val="00DB13AD"/>
    <w:rsid w:val="00DB1ABA"/>
    <w:rsid w:val="00DB4274"/>
    <w:rsid w:val="00DB48E5"/>
    <w:rsid w:val="00DC0DA8"/>
    <w:rsid w:val="00DC610F"/>
    <w:rsid w:val="00DD417C"/>
    <w:rsid w:val="00DD5F63"/>
    <w:rsid w:val="00DE3207"/>
    <w:rsid w:val="00DE3AEE"/>
    <w:rsid w:val="00DE5830"/>
    <w:rsid w:val="00DE6057"/>
    <w:rsid w:val="00DE6A58"/>
    <w:rsid w:val="00DF12BF"/>
    <w:rsid w:val="00DF2716"/>
    <w:rsid w:val="00DF4491"/>
    <w:rsid w:val="00DF4924"/>
    <w:rsid w:val="00DF55E1"/>
    <w:rsid w:val="00E02195"/>
    <w:rsid w:val="00E025EB"/>
    <w:rsid w:val="00E11428"/>
    <w:rsid w:val="00E11FBD"/>
    <w:rsid w:val="00E13126"/>
    <w:rsid w:val="00E1388C"/>
    <w:rsid w:val="00E13CB5"/>
    <w:rsid w:val="00E13DA2"/>
    <w:rsid w:val="00E172B5"/>
    <w:rsid w:val="00E27139"/>
    <w:rsid w:val="00E271B3"/>
    <w:rsid w:val="00E2723B"/>
    <w:rsid w:val="00E32538"/>
    <w:rsid w:val="00E3387A"/>
    <w:rsid w:val="00E33C89"/>
    <w:rsid w:val="00E359D8"/>
    <w:rsid w:val="00E37A87"/>
    <w:rsid w:val="00E40DA3"/>
    <w:rsid w:val="00E4438B"/>
    <w:rsid w:val="00E443D2"/>
    <w:rsid w:val="00E45BB1"/>
    <w:rsid w:val="00E50318"/>
    <w:rsid w:val="00E52D8E"/>
    <w:rsid w:val="00E53A2B"/>
    <w:rsid w:val="00E54BBB"/>
    <w:rsid w:val="00E603D9"/>
    <w:rsid w:val="00E675FE"/>
    <w:rsid w:val="00E67BD9"/>
    <w:rsid w:val="00E67DDE"/>
    <w:rsid w:val="00E7476B"/>
    <w:rsid w:val="00E75B2E"/>
    <w:rsid w:val="00E76E90"/>
    <w:rsid w:val="00E805BB"/>
    <w:rsid w:val="00E80858"/>
    <w:rsid w:val="00E81348"/>
    <w:rsid w:val="00E8308A"/>
    <w:rsid w:val="00E83AD6"/>
    <w:rsid w:val="00E86773"/>
    <w:rsid w:val="00E95725"/>
    <w:rsid w:val="00E96E46"/>
    <w:rsid w:val="00E970F2"/>
    <w:rsid w:val="00EA0108"/>
    <w:rsid w:val="00EA3332"/>
    <w:rsid w:val="00EA37DA"/>
    <w:rsid w:val="00EA61D1"/>
    <w:rsid w:val="00EB086F"/>
    <w:rsid w:val="00EB17BB"/>
    <w:rsid w:val="00EB3135"/>
    <w:rsid w:val="00EB4F79"/>
    <w:rsid w:val="00EB5B1D"/>
    <w:rsid w:val="00EC1B7C"/>
    <w:rsid w:val="00EC2186"/>
    <w:rsid w:val="00EC2359"/>
    <w:rsid w:val="00EC4DCF"/>
    <w:rsid w:val="00ED017E"/>
    <w:rsid w:val="00ED0FC2"/>
    <w:rsid w:val="00ED11F1"/>
    <w:rsid w:val="00ED41C6"/>
    <w:rsid w:val="00ED4BC5"/>
    <w:rsid w:val="00ED7991"/>
    <w:rsid w:val="00EE23EE"/>
    <w:rsid w:val="00EE4892"/>
    <w:rsid w:val="00EF2BCD"/>
    <w:rsid w:val="00EF5CBB"/>
    <w:rsid w:val="00F01682"/>
    <w:rsid w:val="00F03069"/>
    <w:rsid w:val="00F057E6"/>
    <w:rsid w:val="00F062C4"/>
    <w:rsid w:val="00F12673"/>
    <w:rsid w:val="00F12859"/>
    <w:rsid w:val="00F14439"/>
    <w:rsid w:val="00F20551"/>
    <w:rsid w:val="00F22849"/>
    <w:rsid w:val="00F24730"/>
    <w:rsid w:val="00F25FD9"/>
    <w:rsid w:val="00F26DFC"/>
    <w:rsid w:val="00F31A37"/>
    <w:rsid w:val="00F3394A"/>
    <w:rsid w:val="00F34380"/>
    <w:rsid w:val="00F35F06"/>
    <w:rsid w:val="00F45BA7"/>
    <w:rsid w:val="00F47BCF"/>
    <w:rsid w:val="00F47E7E"/>
    <w:rsid w:val="00F5090C"/>
    <w:rsid w:val="00F511FA"/>
    <w:rsid w:val="00F5296D"/>
    <w:rsid w:val="00F55D4A"/>
    <w:rsid w:val="00F72ECE"/>
    <w:rsid w:val="00F8125F"/>
    <w:rsid w:val="00F81FDA"/>
    <w:rsid w:val="00F83693"/>
    <w:rsid w:val="00F8736F"/>
    <w:rsid w:val="00F90D70"/>
    <w:rsid w:val="00F96C64"/>
    <w:rsid w:val="00F96F4F"/>
    <w:rsid w:val="00FA05F2"/>
    <w:rsid w:val="00FA07FB"/>
    <w:rsid w:val="00FA1549"/>
    <w:rsid w:val="00FA2C1F"/>
    <w:rsid w:val="00FA60D2"/>
    <w:rsid w:val="00FA61B3"/>
    <w:rsid w:val="00FA75EA"/>
    <w:rsid w:val="00FA7A2B"/>
    <w:rsid w:val="00FB28E5"/>
    <w:rsid w:val="00FB5308"/>
    <w:rsid w:val="00FB6263"/>
    <w:rsid w:val="00FC0A15"/>
    <w:rsid w:val="00FC49AE"/>
    <w:rsid w:val="00FC6588"/>
    <w:rsid w:val="00FC6CE1"/>
    <w:rsid w:val="00FC7CEE"/>
    <w:rsid w:val="00FC7DFC"/>
    <w:rsid w:val="00FE03E7"/>
    <w:rsid w:val="00FE197A"/>
    <w:rsid w:val="00FE2F79"/>
    <w:rsid w:val="00FE5044"/>
    <w:rsid w:val="00FE5226"/>
    <w:rsid w:val="00FF084D"/>
    <w:rsid w:val="00FF628E"/>
    <w:rsid w:val="00FF787D"/>
    <w:rsid w:val="022655F4"/>
    <w:rsid w:val="038D3451"/>
    <w:rsid w:val="049C1B9D"/>
    <w:rsid w:val="051F632A"/>
    <w:rsid w:val="058D598A"/>
    <w:rsid w:val="09175C96"/>
    <w:rsid w:val="0A8C6210"/>
    <w:rsid w:val="0AB85DB3"/>
    <w:rsid w:val="0E190362"/>
    <w:rsid w:val="0EC95DC3"/>
    <w:rsid w:val="0F3975B3"/>
    <w:rsid w:val="108D4A90"/>
    <w:rsid w:val="10B65D95"/>
    <w:rsid w:val="120B2110"/>
    <w:rsid w:val="171A4BA4"/>
    <w:rsid w:val="18D314AE"/>
    <w:rsid w:val="19D674A8"/>
    <w:rsid w:val="1AFC18A6"/>
    <w:rsid w:val="1DA33B45"/>
    <w:rsid w:val="20083FA6"/>
    <w:rsid w:val="2079293B"/>
    <w:rsid w:val="207B4905"/>
    <w:rsid w:val="21AA72DA"/>
    <w:rsid w:val="22C500B9"/>
    <w:rsid w:val="25056E93"/>
    <w:rsid w:val="267C3185"/>
    <w:rsid w:val="29F23E8A"/>
    <w:rsid w:val="29FB1396"/>
    <w:rsid w:val="2A4775B4"/>
    <w:rsid w:val="2F9B0B20"/>
    <w:rsid w:val="302E2617"/>
    <w:rsid w:val="39810D86"/>
    <w:rsid w:val="3AC21656"/>
    <w:rsid w:val="3EB70DA6"/>
    <w:rsid w:val="3F43263A"/>
    <w:rsid w:val="4AA03036"/>
    <w:rsid w:val="4B3D6AD7"/>
    <w:rsid w:val="4BBC79FC"/>
    <w:rsid w:val="4D272911"/>
    <w:rsid w:val="54686973"/>
    <w:rsid w:val="550A5C7C"/>
    <w:rsid w:val="55BE0F68"/>
    <w:rsid w:val="572D17AE"/>
    <w:rsid w:val="58A27F7A"/>
    <w:rsid w:val="603B13E0"/>
    <w:rsid w:val="60501FDB"/>
    <w:rsid w:val="6EE145C9"/>
    <w:rsid w:val="6F9957DB"/>
    <w:rsid w:val="702C2AF3"/>
    <w:rsid w:val="71EF7A13"/>
    <w:rsid w:val="76D33CC8"/>
    <w:rsid w:val="7B835397"/>
    <w:rsid w:val="7BA84C92"/>
    <w:rsid w:val="7D653255"/>
    <w:rsid w:val="7F160BF6"/>
    <w:rsid w:val="7F961D3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89F0D"/>
  <w15:docId w15:val="{1651DEE6-F747-4F5D-ABC4-03DC5198F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rFonts w:asciiTheme="minorHAnsi" w:eastAsiaTheme="minorEastAsia" w:hAnsiTheme="minorHAnsi" w:cstheme="minorBidi"/>
      <w:kern w:val="2"/>
      <w:sz w:val="21"/>
      <w:szCs w:val="22"/>
    </w:rPr>
  </w:style>
  <w:style w:type="paragraph" w:styleId="Heading2">
    <w:name w:val="heading 2"/>
    <w:basedOn w:val="Normal"/>
    <w:next w:val="Normal"/>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rPr>
      <w:rFonts w:ascii="宋体" w:eastAsia="宋体"/>
      <w:sz w:val="18"/>
      <w:szCs w:val="18"/>
    </w:rPr>
  </w:style>
  <w:style w:type="paragraph" w:styleId="CommentText">
    <w:name w:val="annotation text"/>
    <w:basedOn w:val="Normal"/>
    <w:link w:val="CommentTextChar"/>
    <w:uiPriority w:val="99"/>
    <w:semiHidden/>
    <w:unhideWhenUsed/>
    <w:pPr>
      <w:jc w:val="left"/>
    </w:pPr>
  </w:style>
  <w:style w:type="paragraph" w:styleId="BodyTextIndent">
    <w:name w:val="Body Text Indent"/>
    <w:basedOn w:val="Normal"/>
    <w:qFormat/>
    <w:pPr>
      <w:spacing w:after="120"/>
      <w:ind w:leftChars="200" w:left="420"/>
    </w:pPr>
    <w:rPr>
      <w:rFonts w:ascii="Times New Roman" w:hAnsi="Times New Roman" w:cs="Times New Roman"/>
    </w:r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Title">
    <w:name w:val="Title"/>
    <w:basedOn w:val="Normal"/>
    <w:next w:val="Normal"/>
    <w:uiPriority w:val="10"/>
    <w:qFormat/>
    <w:pPr>
      <w:spacing w:before="240" w:after="60" w:line="360" w:lineRule="auto"/>
      <w:jc w:val="left"/>
      <w:outlineLvl w:val="0"/>
    </w:pPr>
    <w:rPr>
      <w:rFonts w:asciiTheme="majorHAnsi" w:eastAsia="仿宋" w:hAnsiTheme="majorHAnsi" w:cstheme="majorBidi"/>
      <w:b/>
      <w:bCs/>
      <w:sz w:val="32"/>
      <w:szCs w:val="32"/>
    </w:rPr>
  </w:style>
  <w:style w:type="paragraph" w:styleId="CommentSubject">
    <w:name w:val="annotation subject"/>
    <w:basedOn w:val="CommentText"/>
    <w:next w:val="CommentText"/>
    <w:link w:val="CommentSubjectChar"/>
    <w:uiPriority w:val="99"/>
    <w:semiHidden/>
    <w:unhideWhenUsed/>
    <w:qFormat/>
    <w:rPr>
      <w:b/>
      <w:bCs/>
    </w:rPr>
  </w:style>
  <w:style w:type="paragraph" w:styleId="BodyTextFirstIndent2">
    <w:name w:val="Body Text First Indent 2"/>
    <w:basedOn w:val="BodyTextIndent"/>
    <w:qFormat/>
    <w:pPr>
      <w:ind w:firstLineChars="200" w:firstLine="420"/>
    </w:pPr>
    <w:rPr>
      <w:rFonts w:ascii="Calibri" w:eastAsia="宋体" w:hAnsi="Calibri"/>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qFormat/>
    <w:rPr>
      <w:color w:val="428BCA"/>
      <w:u w:val="none"/>
      <w:shd w:val="clear" w:color="auto" w:fill="auto"/>
    </w:rPr>
  </w:style>
  <w:style w:type="character" w:styleId="CommentReference">
    <w:name w:val="annotation reference"/>
    <w:basedOn w:val="DefaultParagraphFont"/>
    <w:uiPriority w:val="99"/>
    <w:semiHidden/>
    <w:unhideWhenUsed/>
    <w:qFormat/>
    <w:rPr>
      <w:sz w:val="21"/>
      <w:szCs w:val="21"/>
    </w:r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Char">
    <w:name w:val="段 Char"/>
    <w:link w:val="a7"/>
    <w:qFormat/>
    <w:rPr>
      <w:rFonts w:ascii="宋体"/>
    </w:rPr>
  </w:style>
  <w:style w:type="paragraph" w:customStyle="1" w:styleId="a7">
    <w:name w:val="段"/>
    <w:link w:val="Char"/>
    <w:qFormat/>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paragraph" w:styleId="ListParagraph">
    <w:name w:val="List Paragraph"/>
    <w:basedOn w:val="Normal"/>
    <w:uiPriority w:val="34"/>
    <w:qFormat/>
    <w:pPr>
      <w:ind w:firstLineChars="200" w:firstLine="420"/>
    </w:pPr>
  </w:style>
  <w:style w:type="character" w:customStyle="1" w:styleId="DocumentMapChar">
    <w:name w:val="Document Map Char"/>
    <w:basedOn w:val="DefaultParagraphFont"/>
    <w:link w:val="DocumentMap"/>
    <w:uiPriority w:val="99"/>
    <w:semiHidden/>
    <w:qFormat/>
    <w:rPr>
      <w:rFonts w:ascii="宋体" w:eastAsia="宋体"/>
      <w:sz w:val="18"/>
      <w:szCs w:val="18"/>
    </w:rPr>
  </w:style>
  <w:style w:type="character" w:customStyle="1" w:styleId="1">
    <w:name w:val="标题1"/>
    <w:basedOn w:val="DefaultParagraphFont"/>
    <w:qFormat/>
  </w:style>
  <w:style w:type="paragraph" w:customStyle="1" w:styleId="a4">
    <w:name w:val="注：（正文）"/>
    <w:basedOn w:val="Normal"/>
    <w:next w:val="a7"/>
    <w:qFormat/>
    <w:pPr>
      <w:numPr>
        <w:numId w:val="1"/>
      </w:numPr>
      <w:autoSpaceDE w:val="0"/>
      <w:autoSpaceDN w:val="0"/>
      <w:ind w:left="726"/>
    </w:pPr>
    <w:rPr>
      <w:rFonts w:ascii="宋体" w:eastAsia="宋体" w:hAnsi="Times New Roman" w:cs="Times New Roman"/>
      <w:kern w:val="0"/>
      <w:sz w:val="18"/>
      <w:szCs w:val="18"/>
    </w:rPr>
  </w:style>
  <w:style w:type="character" w:customStyle="1" w:styleId="BalloonTextChar">
    <w:name w:val="Balloon Text Char"/>
    <w:basedOn w:val="DefaultParagraphFont"/>
    <w:link w:val="BalloonText"/>
    <w:uiPriority w:val="99"/>
    <w:semiHidden/>
    <w:qFormat/>
    <w:rPr>
      <w:sz w:val="18"/>
      <w:szCs w:val="18"/>
    </w:rPr>
  </w:style>
  <w:style w:type="paragraph" w:customStyle="1" w:styleId="a5">
    <w:name w:val="附录图标号"/>
    <w:basedOn w:val="Normal"/>
    <w:qFormat/>
    <w:pPr>
      <w:keepNext/>
      <w:pageBreakBefore/>
      <w:widowControl/>
      <w:numPr>
        <w:numId w:val="2"/>
      </w:numPr>
      <w:spacing w:line="14" w:lineRule="exact"/>
      <w:ind w:left="0" w:firstLine="363"/>
      <w:jc w:val="center"/>
      <w:outlineLvl w:val="0"/>
    </w:pPr>
    <w:rPr>
      <w:rFonts w:ascii="Times New Roman" w:eastAsia="宋体" w:hAnsi="Times New Roman" w:cs="Times New Roman"/>
      <w:color w:val="FFFFFF"/>
      <w:szCs w:val="24"/>
    </w:rPr>
  </w:style>
  <w:style w:type="paragraph" w:customStyle="1" w:styleId="a6">
    <w:name w:val="附录图标题"/>
    <w:basedOn w:val="Normal"/>
    <w:next w:val="a7"/>
    <w:qFormat/>
    <w:pPr>
      <w:numPr>
        <w:ilvl w:val="1"/>
        <w:numId w:val="2"/>
      </w:numPr>
      <w:tabs>
        <w:tab w:val="left" w:pos="363"/>
      </w:tabs>
      <w:spacing w:beforeLines="50" w:afterLines="50"/>
      <w:ind w:left="0" w:firstLine="0"/>
      <w:jc w:val="center"/>
    </w:pPr>
    <w:rPr>
      <w:rFonts w:ascii="黑体" w:eastAsia="黑体" w:hAnsi="Times New Roman" w:cs="Times New Roman"/>
      <w:szCs w:val="21"/>
    </w:rPr>
  </w:style>
  <w:style w:type="character" w:customStyle="1" w:styleId="CommentTextChar">
    <w:name w:val="Comment Text Char"/>
    <w:basedOn w:val="DefaultParagraphFont"/>
    <w:link w:val="CommentText"/>
    <w:uiPriority w:val="99"/>
    <w:semiHidden/>
    <w:qFormat/>
  </w:style>
  <w:style w:type="character" w:customStyle="1" w:styleId="CommentSubjectChar">
    <w:name w:val="Comment Subject Char"/>
    <w:basedOn w:val="CommentTextChar"/>
    <w:link w:val="CommentSubject"/>
    <w:uiPriority w:val="99"/>
    <w:semiHidden/>
    <w:qFormat/>
    <w:rPr>
      <w:b/>
      <w:bCs/>
    </w:rPr>
  </w:style>
  <w:style w:type="paragraph" w:customStyle="1" w:styleId="a8">
    <w:name w:val="正文公式编号制表符"/>
    <w:basedOn w:val="a7"/>
    <w:next w:val="a7"/>
    <w:qFormat/>
    <w:pPr>
      <w:ind w:firstLineChars="0" w:firstLine="0"/>
    </w:pPr>
    <w:rPr>
      <w:rFonts w:eastAsia="宋体" w:hAnsi="Times New Roman" w:cs="Times New Roman"/>
      <w:kern w:val="0"/>
      <w:szCs w:val="20"/>
    </w:rPr>
  </w:style>
  <w:style w:type="paragraph" w:customStyle="1" w:styleId="a0">
    <w:name w:val="一级条标题"/>
    <w:next w:val="a7"/>
    <w:qFormat/>
    <w:pPr>
      <w:numPr>
        <w:ilvl w:val="1"/>
        <w:numId w:val="3"/>
      </w:numPr>
      <w:spacing w:beforeLines="50" w:afterLines="50"/>
      <w:outlineLvl w:val="2"/>
    </w:pPr>
    <w:rPr>
      <w:rFonts w:ascii="黑体" w:eastAsia="黑体"/>
      <w:sz w:val="21"/>
      <w:szCs w:val="21"/>
    </w:rPr>
  </w:style>
  <w:style w:type="paragraph" w:customStyle="1" w:styleId="a">
    <w:name w:val="章标题"/>
    <w:next w:val="a7"/>
    <w:qFormat/>
    <w:pPr>
      <w:numPr>
        <w:numId w:val="3"/>
      </w:numPr>
      <w:spacing w:beforeLines="100" w:afterLines="100"/>
      <w:jc w:val="both"/>
      <w:outlineLvl w:val="1"/>
    </w:pPr>
    <w:rPr>
      <w:rFonts w:ascii="黑体" w:eastAsia="黑体"/>
      <w:sz w:val="21"/>
    </w:rPr>
  </w:style>
  <w:style w:type="paragraph" w:customStyle="1" w:styleId="a1">
    <w:name w:val="二级条标题"/>
    <w:basedOn w:val="a0"/>
    <w:next w:val="a7"/>
    <w:qFormat/>
    <w:pPr>
      <w:numPr>
        <w:ilvl w:val="2"/>
      </w:numPr>
      <w:spacing w:before="50" w:after="50"/>
      <w:outlineLvl w:val="3"/>
    </w:pPr>
  </w:style>
  <w:style w:type="paragraph" w:customStyle="1" w:styleId="a2">
    <w:name w:val="四级条标题"/>
    <w:basedOn w:val="Normal"/>
    <w:next w:val="a7"/>
    <w:qFormat/>
    <w:pPr>
      <w:widowControl/>
      <w:numPr>
        <w:ilvl w:val="4"/>
        <w:numId w:val="3"/>
      </w:numPr>
      <w:spacing w:beforeLines="50" w:afterLines="50"/>
      <w:jc w:val="left"/>
      <w:outlineLvl w:val="5"/>
    </w:pPr>
    <w:rPr>
      <w:rFonts w:ascii="黑体" w:eastAsia="黑体" w:hAnsi="Times New Roman" w:cs="Times New Roman"/>
      <w:kern w:val="0"/>
      <w:szCs w:val="21"/>
    </w:rPr>
  </w:style>
  <w:style w:type="paragraph" w:customStyle="1" w:styleId="a3">
    <w:name w:val="五级条标题"/>
    <w:basedOn w:val="a2"/>
    <w:next w:val="a7"/>
    <w:qFormat/>
    <w:pPr>
      <w:numPr>
        <w:ilvl w:val="5"/>
      </w:numPr>
      <w:outlineLvl w:val="6"/>
    </w:pPr>
  </w:style>
  <w:style w:type="paragraph" w:customStyle="1" w:styleId="a9">
    <w:name w:val="二级无"/>
    <w:basedOn w:val="a1"/>
    <w:qFormat/>
    <w:pPr>
      <w:spacing w:beforeLines="0" w:afterLines="0"/>
      <w:ind w:left="0"/>
    </w:pPr>
    <w:rPr>
      <w:rFonts w:ascii="宋体" w:eastAsia="宋体"/>
    </w:rPr>
  </w:style>
  <w:style w:type="character" w:styleId="PlaceholderText">
    <w:name w:val="Placeholder Text"/>
    <w:basedOn w:val="DefaultParagraphFont"/>
    <w:uiPriority w:val="99"/>
    <w:semiHidden/>
    <w:qFormat/>
    <w:rPr>
      <w:color w:val="808080"/>
    </w:rPr>
  </w:style>
  <w:style w:type="paragraph" w:customStyle="1" w:styleId="10">
    <w:name w:val="修订1"/>
    <w:hidden/>
    <w:uiPriority w:val="99"/>
    <w:semiHidden/>
    <w:qFormat/>
    <w:rPr>
      <w:rFonts w:asciiTheme="minorHAnsi" w:eastAsiaTheme="minorEastAsia" w:hAnsiTheme="minorHAnsi" w:cstheme="minorBidi"/>
      <w:kern w:val="2"/>
      <w:sz w:val="21"/>
      <w:szCs w:val="22"/>
    </w:rPr>
  </w:style>
  <w:style w:type="paragraph" w:customStyle="1" w:styleId="aa">
    <w:name w:val="标准文件_段"/>
    <w:link w:val="Char0"/>
    <w:qFormat/>
    <w:pPr>
      <w:autoSpaceDE w:val="0"/>
      <w:autoSpaceDN w:val="0"/>
      <w:ind w:firstLineChars="200" w:firstLine="200"/>
      <w:jc w:val="both"/>
    </w:pPr>
    <w:rPr>
      <w:rFonts w:ascii="宋体"/>
      <w:sz w:val="21"/>
    </w:rPr>
  </w:style>
  <w:style w:type="character" w:customStyle="1" w:styleId="Char0">
    <w:name w:val="标准文件_段 Char"/>
    <w:link w:val="aa"/>
    <w:qFormat/>
    <w:rPr>
      <w:rFonts w:ascii="宋体" w:eastAsia="宋体" w:hAnsi="Times New Roman"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664A42-85C9-4035-A5EE-B67524C59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16</Pages>
  <Words>2942</Words>
  <Characters>16775</Characters>
  <Application>Microsoft Office Word</Application>
  <DocSecurity>0</DocSecurity>
  <Lines>139</Lines>
  <Paragraphs>39</Paragraphs>
  <ScaleCrop>false</ScaleCrop>
  <Company/>
  <LinksUpToDate>false</LinksUpToDate>
  <CharactersWithSpaces>19678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JinKo</dc:creator>
  <cp:lastModifiedBy>Jerry He</cp:lastModifiedBy>
  <cp:revision>152</cp:revision>
  <dcterms:created xsi:type="dcterms:W3CDTF">2020-07-20T02:56:00Z</dcterms:created>
  <dcterms:modified xsi:type="dcterms:W3CDTF">2025-08-22T08:15:00Z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(3)btVO/G0zQNtV1mGpR3+fUoSMexA0Xo9hp6hkXHHe4cvK8loXhXoDDsDjp2vXYsTVsUOe+jjU
AM0YzbvzpafGTR0WelCIg/zSBbR6olKnuDhsq+Q1WdTkUFoxRtL4juOzdO4E0Uj9jojw4yhD
AEItOhv3JTwleQqL2NVAYFAY/YdN4I0lQRjfIKoQuripFRy7n1aQGcJWvi0tFpGJOO+2cAjq
2mVLHmwqqDWg3H9EGY</vt:lpwstr>
  </property>
  <property fmtid="{D5CDD505-2E9C-101B-9397-08002B2CF9AE}" pid="3" name="_2015_ms_pID_7253431">
    <vt:lpwstr>9PWM84fkWFFvse/54K2Ya4fzQzEksZGhfEfHNZnqCWbT3fVhE1KHDs
bfZI4j5yEGlpqMZD7FWPUsIFX6K486i/rlG+IvuIVIQG4f1XOGP1UcHgNAVQtKWZfBcJ6IgJ
NnEr/IwVdDgEArdSDOFq+cR7GIsJClT7chcIu7gCA/0pf4qhW5o7WfodqXGAAGxD+kb8ht+4
q3k7j3l/s5MUAsR9i2QzCoXRNAbu1jjMXSQ3</vt:lpwstr>
  </property>
  <property fmtid="{D5CDD505-2E9C-101B-9397-08002B2CF9AE}" pid="4" name="_2015_ms_pID_7253432">
    <vt:lpwstr>NCujSY5JIXgz+2K6ZdQl9h4=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1739952075</vt:lpwstr>
  </property>
  <property fmtid="{D5CDD505-2E9C-101B-9397-08002B2CF9AE}" pid="9" name="KSOTemplateDocerSaveRecord">
    <vt:lpwstr>eyJoZGlkIjoiNWFiOWFjNjk0YzQxN2NmYjRhOWE3OThkYmZhYWNmNDQiLCJ1c2VySWQiOiI0MTYxODMzNTEifQ==</vt:lpwstr>
  </property>
  <property fmtid="{D5CDD505-2E9C-101B-9397-08002B2CF9AE}" pid="10" name="KSOProductBuildVer">
    <vt:lpwstr>2052-12.1.0.21915</vt:lpwstr>
  </property>
  <property fmtid="{D5CDD505-2E9C-101B-9397-08002B2CF9AE}" pid="11" name="ICV">
    <vt:lpwstr>D95A48AE997D4AE7A15212745B165CA7_12</vt:lpwstr>
  </property>
</Properties>
</file>